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House Price Prediction — Summary Report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Internship Project, Week 1  |  Dataset: Housing Prices Dataset (Kaggle) — 545 records, 12 features</w:t>
      </w:r>
    </w:p>
    <w:p>
      <w:pPr>
        <w:spacing w:after="200"/>
      </w:pPr>
      <w:r>
        <w:rPr>
          <w:b/>
          <w:bCs/>
          <w:color w:val="333333"/>
          <w:sz w:val="19"/>
          <w:szCs w:val="19"/>
        </w:rPr>
        <w:t xml:space="preserve">Prepared by: Sridhar S  |  Sridharreddyrudra@gmail.com</w:t>
      </w:r>
    </w:p>
    <w:p>
      <w:pPr>
        <w:pStyle w:val="Heading2"/>
      </w:pPr>
      <w:r>
        <w:t xml:space="preserve">Model Performance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2320"/>
        <w:gridCol w:w="2320"/>
        <w:gridCol w:w="2320"/>
      </w:tblGrid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R² Score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₹407,713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₹506,603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0.868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₹465,936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₹570,956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0.832</w:t>
            </w:r>
          </w:p>
        </w:tc>
      </w:tr>
    </w:tbl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Area (square footage) is by far the strongest predictor of price, accounting for over 80% of feature importance in the Random Forest model.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Bathrooms, air conditioning, parking, and number of stories each have a smaller but positive influence on price.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Linear Regression (R² = 0.868) slightly outperformed Random Forest (R² = 0.832), suggesting the price relationship in this dataset is close to linear.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Bedroom count alone is a weak price signal — a small home with many bedrooms is not necessarily worth more than a large home with fewer bedrooms.</w:t>
      </w:r>
    </w:p>
    <w:p>
      <w:pPr>
        <w:pStyle w:val="Heading2"/>
      </w:pPr>
      <w:r>
        <w:t xml:space="preserve">Visual Highlights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Price Distribution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Actual vs Predicted Price</w:t>
            </w:r>
          </w:p>
        </w:tc>
      </w:tr>
    </w:tbl>
    <w:p>
      <w:pPr>
        <w:pStyle w:val="Heading2"/>
      </w:pPr>
      <w:r>
        <w:t xml:space="preserve">Recommendation</w:t>
      </w:r>
    </w:p>
    <w:p>
      <w:r>
        <w:rPr>
          <w:sz w:val="20"/>
          <w:szCs w:val="20"/>
        </w:rPr>
        <w:t xml:space="preserve">Real estate businesses should benchmark listings primarily on price-per-square-foot within comparable amenity tiers, rather than relying on bedroom or bathroom counts alone. This approach better captures true value and reduces mispricing of small, room-dense properties or large, amenity-light ones.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26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6a4e6837945388c61fec3c226d963323f956053.png"/><Relationship Id="rId8" Type="http://schemas.openxmlformats.org/officeDocument/2006/relationships/image" Target="media/076f3c64a92db06338db2995da21b290f7a0992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2026-06-20T05:27:57.050Z</dcterms:created>
  <dcterms:modified xsi:type="dcterms:W3CDTF">2026-06-20T05:27:57.061Z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