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711A" w14:textId="29DFAFE8" w:rsidR="00C56286" w:rsidRDefault="3A22543A" w:rsidP="03588F3F">
      <w:pPr>
        <w:pStyle w:val="Heading2"/>
        <w:spacing w:before="261" w:after="261" w:line="300" w:lineRule="auto"/>
      </w:pPr>
      <w:r w:rsidRPr="03588F3F">
        <w:rPr>
          <w:rFonts w:ascii="Segoe UI" w:eastAsia="Segoe UI" w:hAnsi="Segoe UI" w:cs="Segoe UI"/>
          <w:b/>
          <w:bCs/>
          <w:sz w:val="31"/>
          <w:szCs w:val="31"/>
        </w:rPr>
        <w:t>Board Meeting – 15 February 2026</w:t>
      </w:r>
    </w:p>
    <w:p w14:paraId="2FF054C9" w14:textId="1ACAD69B" w:rsidR="00C56286" w:rsidRDefault="3A22543A" w:rsidP="03588F3F">
      <w:pPr>
        <w:spacing w:after="0" w:line="300" w:lineRule="auto"/>
      </w:pPr>
      <w:r w:rsidRPr="03588F3F">
        <w:rPr>
          <w:rFonts w:ascii="Segoe UI" w:eastAsia="Segoe UI" w:hAnsi="Segoe UI" w:cs="Segoe UI"/>
          <w:b/>
          <w:bCs/>
          <w:sz w:val="21"/>
          <w:szCs w:val="21"/>
        </w:rPr>
        <w:t>Topic:</w:t>
      </w:r>
      <w:r w:rsidRPr="03588F3F">
        <w:rPr>
          <w:rFonts w:ascii="Segoe UI" w:eastAsia="Segoe UI" w:hAnsi="Segoe UI" w:cs="Segoe UI"/>
          <w:sz w:val="21"/>
          <w:szCs w:val="21"/>
        </w:rPr>
        <w:t xml:space="preserve"> </w:t>
      </w:r>
      <w:r w:rsidRPr="03588F3F">
        <w:rPr>
          <w:rFonts w:ascii="Segoe UI" w:eastAsia="Segoe UI" w:hAnsi="Segoe UI" w:cs="Segoe UI"/>
          <w:b/>
          <w:bCs/>
          <w:sz w:val="21"/>
          <w:szCs w:val="21"/>
        </w:rPr>
        <w:t>Financial Performance Review (Q4 2025 / FY 2025)</w:t>
      </w:r>
      <w:r w:rsidR="007624AA">
        <w:br/>
      </w:r>
      <w:r w:rsidRPr="03588F3F">
        <w:rPr>
          <w:rFonts w:ascii="Segoe UI" w:eastAsia="Segoe UI" w:hAnsi="Segoe UI" w:cs="Segoe UI"/>
          <w:sz w:val="21"/>
          <w:szCs w:val="21"/>
        </w:rPr>
        <w:t xml:space="preserve"> </w:t>
      </w:r>
      <w:r w:rsidRPr="03588F3F">
        <w:rPr>
          <w:rFonts w:ascii="Segoe UI" w:eastAsia="Segoe UI" w:hAnsi="Segoe UI" w:cs="Segoe UI"/>
          <w:b/>
          <w:bCs/>
          <w:sz w:val="21"/>
          <w:szCs w:val="21"/>
        </w:rPr>
        <w:t>Date:</w:t>
      </w:r>
      <w:r w:rsidRPr="03588F3F">
        <w:rPr>
          <w:rFonts w:ascii="Segoe UI" w:eastAsia="Segoe UI" w:hAnsi="Segoe UI" w:cs="Segoe UI"/>
          <w:sz w:val="21"/>
          <w:szCs w:val="21"/>
        </w:rPr>
        <w:t xml:space="preserve"> 15 February 2026</w:t>
      </w:r>
      <w:r w:rsidR="007624AA">
        <w:br/>
      </w:r>
      <w:r w:rsidRPr="03588F3F">
        <w:rPr>
          <w:rFonts w:ascii="Segoe UI" w:eastAsia="Segoe UI" w:hAnsi="Segoe UI" w:cs="Segoe UI"/>
          <w:sz w:val="21"/>
          <w:szCs w:val="21"/>
        </w:rPr>
        <w:t xml:space="preserve"> </w:t>
      </w:r>
      <w:r w:rsidRPr="03588F3F">
        <w:rPr>
          <w:rFonts w:ascii="Segoe UI" w:eastAsia="Segoe UI" w:hAnsi="Segoe UI" w:cs="Segoe UI"/>
          <w:b/>
          <w:bCs/>
          <w:sz w:val="21"/>
          <w:szCs w:val="21"/>
        </w:rPr>
        <w:t>Attendees:</w:t>
      </w:r>
      <w:r w:rsidRPr="03588F3F">
        <w:rPr>
          <w:rFonts w:ascii="Segoe UI" w:eastAsia="Segoe UI" w:hAnsi="Segoe UI" w:cs="Segoe UI"/>
          <w:sz w:val="21"/>
          <w:szCs w:val="21"/>
        </w:rPr>
        <w:t xml:space="preserve"> Board Chair </w:t>
      </w:r>
      <w:r w:rsidRPr="03588F3F">
        <w:rPr>
          <w:rFonts w:ascii="Segoe UI" w:eastAsia="Segoe UI" w:hAnsi="Segoe UI" w:cs="Segoe UI"/>
          <w:b/>
          <w:bCs/>
          <w:sz w:val="21"/>
          <w:szCs w:val="21"/>
        </w:rPr>
        <w:t>Mcebisi Jonas</w:t>
      </w:r>
      <w:r w:rsidRPr="03588F3F">
        <w:rPr>
          <w:rFonts w:ascii="Segoe UI" w:eastAsia="Segoe UI" w:hAnsi="Segoe UI" w:cs="Segoe UI"/>
          <w:sz w:val="21"/>
          <w:szCs w:val="21"/>
        </w:rPr>
        <w:t xml:space="preserve">; Group CEO </w:t>
      </w:r>
      <w:r w:rsidRPr="03588F3F">
        <w:rPr>
          <w:rFonts w:ascii="Segoe UI" w:eastAsia="Segoe UI" w:hAnsi="Segoe UI" w:cs="Segoe UI"/>
          <w:b/>
          <w:bCs/>
          <w:sz w:val="21"/>
          <w:szCs w:val="21"/>
        </w:rPr>
        <w:t>Ralph Mupita</w:t>
      </w:r>
      <w:r w:rsidRPr="03588F3F">
        <w:rPr>
          <w:rFonts w:ascii="Segoe UI" w:eastAsia="Segoe UI" w:hAnsi="Segoe UI" w:cs="Segoe UI"/>
          <w:sz w:val="21"/>
          <w:szCs w:val="21"/>
        </w:rPr>
        <w:t>; CFO; All Board Members; Audit &amp; Risk Committee Chair; External Auditors (for financial statements review portion); Investor Relations Head; Company Secretary.</w:t>
      </w:r>
    </w:p>
    <w:p w14:paraId="499D8AA2" w14:textId="559577F2" w:rsidR="00C56286" w:rsidRDefault="3A22543A" w:rsidP="03588F3F">
      <w:pPr>
        <w:spacing w:after="0" w:line="300" w:lineRule="auto"/>
      </w:pPr>
      <w:r w:rsidRPr="03588F3F">
        <w:rPr>
          <w:rFonts w:ascii="Segoe UI" w:eastAsia="Segoe UI" w:hAnsi="Segoe UI" w:cs="Segoe UI"/>
          <w:b/>
          <w:bCs/>
          <w:sz w:val="21"/>
          <w:szCs w:val="21"/>
        </w:rPr>
        <w:t>Agenda:</w:t>
      </w:r>
    </w:p>
    <w:p w14:paraId="2D5A7A0C" w14:textId="7D58AA07" w:rsidR="00C56286" w:rsidRDefault="3A22543A" w:rsidP="03588F3F">
      <w:pPr>
        <w:pStyle w:val="ListParagraph"/>
        <w:numPr>
          <w:ilvl w:val="0"/>
          <w:numId w:val="5"/>
        </w:numPr>
        <w:spacing w:after="0" w:line="300" w:lineRule="auto"/>
        <w:rPr>
          <w:rFonts w:ascii="Segoe UI" w:eastAsia="Segoe UI" w:hAnsi="Segoe UI" w:cs="Segoe UI"/>
          <w:sz w:val="21"/>
          <w:szCs w:val="21"/>
        </w:rPr>
      </w:pPr>
      <w:r w:rsidRPr="03588F3F">
        <w:rPr>
          <w:rFonts w:ascii="Segoe UI" w:eastAsia="Segoe UI" w:hAnsi="Segoe UI" w:cs="Segoe UI"/>
          <w:sz w:val="21"/>
          <w:szCs w:val="21"/>
        </w:rPr>
        <w:t xml:space="preserve">Presentation of the </w:t>
      </w:r>
      <w:r w:rsidRPr="03588F3F">
        <w:rPr>
          <w:rFonts w:ascii="Segoe UI" w:eastAsia="Segoe UI" w:hAnsi="Segoe UI" w:cs="Segoe UI"/>
          <w:b/>
          <w:bCs/>
          <w:sz w:val="21"/>
          <w:szCs w:val="21"/>
        </w:rPr>
        <w:t>financial results for Q4 2025 and the full-year 2025</w:t>
      </w:r>
      <w:r w:rsidRPr="03588F3F">
        <w:rPr>
          <w:rFonts w:ascii="Segoe UI" w:eastAsia="Segoe UI" w:hAnsi="Segoe UI" w:cs="Segoe UI"/>
          <w:sz w:val="21"/>
          <w:szCs w:val="21"/>
        </w:rPr>
        <w:t>, including key performance highlights, financial statements, and auditors’ report.</w:t>
      </w:r>
    </w:p>
    <w:p w14:paraId="298CB6B2" w14:textId="563780E4" w:rsidR="00C56286" w:rsidRDefault="3A22543A" w:rsidP="03588F3F">
      <w:pPr>
        <w:pStyle w:val="ListParagraph"/>
        <w:numPr>
          <w:ilvl w:val="0"/>
          <w:numId w:val="5"/>
        </w:numPr>
        <w:spacing w:after="0" w:line="300" w:lineRule="auto"/>
        <w:rPr>
          <w:rFonts w:ascii="Segoe UI" w:eastAsia="Segoe UI" w:hAnsi="Segoe UI" w:cs="Segoe UI"/>
          <w:sz w:val="21"/>
          <w:szCs w:val="21"/>
        </w:rPr>
      </w:pPr>
      <w:r w:rsidRPr="03588F3F">
        <w:rPr>
          <w:rFonts w:ascii="Segoe UI" w:eastAsia="Segoe UI" w:hAnsi="Segoe UI" w:cs="Segoe UI"/>
          <w:sz w:val="21"/>
          <w:szCs w:val="21"/>
        </w:rPr>
        <w:t>Analysis of performance against the year’s targets (revenue, profit, subscriber growth, margins) and budget.</w:t>
      </w:r>
    </w:p>
    <w:p w14:paraId="3EB9A290" w14:textId="642ACA99" w:rsidR="00C56286" w:rsidRDefault="3A22543A" w:rsidP="03588F3F">
      <w:pPr>
        <w:pStyle w:val="ListParagraph"/>
        <w:numPr>
          <w:ilvl w:val="0"/>
          <w:numId w:val="5"/>
        </w:numPr>
        <w:spacing w:after="0" w:line="300" w:lineRule="auto"/>
        <w:rPr>
          <w:rFonts w:ascii="Segoe UI" w:eastAsia="Segoe UI" w:hAnsi="Segoe UI" w:cs="Segoe UI"/>
          <w:sz w:val="21"/>
          <w:szCs w:val="21"/>
        </w:rPr>
      </w:pPr>
      <w:r w:rsidRPr="03588F3F">
        <w:rPr>
          <w:rFonts w:ascii="Segoe UI" w:eastAsia="Segoe UI" w:hAnsi="Segoe UI" w:cs="Segoe UI"/>
          <w:sz w:val="21"/>
          <w:szCs w:val="21"/>
        </w:rPr>
        <w:t>Discussion of dividend declarations for FY 2025 and guidance/outlook for 2026.</w:t>
      </w:r>
    </w:p>
    <w:p w14:paraId="4AF3DA51" w14:textId="21B8DDBE" w:rsidR="00C56286" w:rsidRDefault="3A22543A" w:rsidP="03588F3F">
      <w:pPr>
        <w:pStyle w:val="ListParagraph"/>
        <w:numPr>
          <w:ilvl w:val="0"/>
          <w:numId w:val="5"/>
        </w:numPr>
        <w:spacing w:after="0" w:line="300" w:lineRule="auto"/>
        <w:rPr>
          <w:rFonts w:ascii="Segoe UI" w:eastAsia="Segoe UI" w:hAnsi="Segoe UI" w:cs="Segoe UI"/>
          <w:sz w:val="21"/>
          <w:szCs w:val="21"/>
        </w:rPr>
      </w:pPr>
      <w:r w:rsidRPr="03588F3F">
        <w:rPr>
          <w:rFonts w:ascii="Segoe UI" w:eastAsia="Segoe UI" w:hAnsi="Segoe UI" w:cs="Segoe UI"/>
          <w:sz w:val="21"/>
          <w:szCs w:val="21"/>
        </w:rPr>
        <w:t>Strategic considerations going into the final year of Ambition 2025: progress and course corrections needed, if any.</w:t>
      </w:r>
    </w:p>
    <w:p w14:paraId="57C2769F" w14:textId="5C790AC8" w:rsidR="00C56286" w:rsidRDefault="3A22543A" w:rsidP="03588F3F">
      <w:pPr>
        <w:spacing w:after="0" w:line="300" w:lineRule="auto"/>
      </w:pPr>
      <w:r w:rsidRPr="03588F3F">
        <w:rPr>
          <w:rFonts w:ascii="Segoe UI" w:eastAsia="Segoe UI" w:hAnsi="Segoe UI" w:cs="Segoe UI"/>
          <w:b/>
          <w:bCs/>
          <w:sz w:val="21"/>
          <w:szCs w:val="21"/>
        </w:rPr>
        <w:t>Key Discussion Points:</w:t>
      </w:r>
    </w:p>
    <w:p w14:paraId="24BC4BCB" w14:textId="083DA5D3" w:rsidR="00C56286" w:rsidRDefault="3A22543A" w:rsidP="03588F3F">
      <w:pPr>
        <w:pStyle w:val="ListParagraph"/>
        <w:numPr>
          <w:ilvl w:val="0"/>
          <w:numId w:val="4"/>
        </w:numPr>
        <w:spacing w:after="0" w:line="300" w:lineRule="auto"/>
        <w:rPr>
          <w:rFonts w:ascii="Segoe UI" w:eastAsia="Segoe UI" w:hAnsi="Segoe UI" w:cs="Segoe UI"/>
          <w:color w:val="464FEB"/>
          <w:sz w:val="21"/>
          <w:szCs w:val="21"/>
        </w:rPr>
      </w:pPr>
      <w:r w:rsidRPr="03588F3F">
        <w:rPr>
          <w:rFonts w:ascii="Segoe UI" w:eastAsia="Segoe UI" w:hAnsi="Segoe UI" w:cs="Segoe UI"/>
          <w:b/>
          <w:bCs/>
          <w:sz w:val="21"/>
          <w:szCs w:val="21"/>
        </w:rPr>
        <w:t>Overview of 2025 Financial Results:</w:t>
      </w:r>
      <w:r w:rsidRPr="03588F3F">
        <w:rPr>
          <w:rFonts w:ascii="Segoe UI" w:eastAsia="Segoe UI" w:hAnsi="Segoe UI" w:cs="Segoe UI"/>
          <w:sz w:val="21"/>
          <w:szCs w:val="21"/>
        </w:rPr>
        <w:t xml:space="preserve"> The CFO and CEO presented a strong set of results for the year ending 31 Dec 2025. MTN Group’s </w:t>
      </w:r>
      <w:r w:rsidRPr="03588F3F">
        <w:rPr>
          <w:rFonts w:ascii="Segoe UI" w:eastAsia="Segoe UI" w:hAnsi="Segoe UI" w:cs="Segoe UI"/>
          <w:b/>
          <w:bCs/>
          <w:sz w:val="21"/>
          <w:szCs w:val="21"/>
        </w:rPr>
        <w:t>subscriber base</w:t>
      </w:r>
      <w:r w:rsidRPr="03588F3F">
        <w:rPr>
          <w:rFonts w:ascii="Segoe UI" w:eastAsia="Segoe UI" w:hAnsi="Segoe UI" w:cs="Segoe UI"/>
          <w:sz w:val="21"/>
          <w:szCs w:val="21"/>
        </w:rPr>
        <w:t xml:space="preserve"> continued its robust expansion, officially crossing the </w:t>
      </w:r>
      <w:r w:rsidRPr="03588F3F">
        <w:rPr>
          <w:rFonts w:ascii="Segoe UI" w:eastAsia="Segoe UI" w:hAnsi="Segoe UI" w:cs="Segoe UI"/>
          <w:b/>
          <w:bCs/>
          <w:sz w:val="21"/>
          <w:szCs w:val="21"/>
        </w:rPr>
        <w:t>300 million mark in October 2025</w:t>
      </w:r>
      <w:r w:rsidRPr="03588F3F">
        <w:rPr>
          <w:rFonts w:ascii="Segoe UI" w:eastAsia="Segoe UI" w:hAnsi="Segoe UI" w:cs="Segoe UI"/>
          <w:sz w:val="21"/>
          <w:szCs w:val="21"/>
        </w:rPr>
        <w:t xml:space="preserve"> and ending the year slightly above that milestone (with roughly 305 million subscribers). This makes MTN one of the top six mobile operators worldwide. The surge in subscribers, along with increased data and fintech usage, drove significant revenue growth. The Group’s </w:t>
      </w:r>
      <w:r w:rsidRPr="03588F3F">
        <w:rPr>
          <w:rFonts w:ascii="Segoe UI" w:eastAsia="Segoe UI" w:hAnsi="Segoe UI" w:cs="Segoe UI"/>
          <w:b/>
          <w:bCs/>
          <w:sz w:val="21"/>
          <w:szCs w:val="21"/>
        </w:rPr>
        <w:t>total revenue for 2025</w:t>
      </w:r>
      <w:r w:rsidRPr="03588F3F">
        <w:rPr>
          <w:rFonts w:ascii="Segoe UI" w:eastAsia="Segoe UI" w:hAnsi="Segoe UI" w:cs="Segoe UI"/>
          <w:sz w:val="21"/>
          <w:szCs w:val="21"/>
        </w:rPr>
        <w:t xml:space="preserve"> was estimated to have grown double-digits from the prior year. (For context, </w:t>
      </w:r>
      <w:r w:rsidRPr="03588F3F">
        <w:rPr>
          <w:rFonts w:ascii="Segoe UI" w:eastAsia="Segoe UI" w:hAnsi="Segoe UI" w:cs="Segoe UI"/>
          <w:b/>
          <w:bCs/>
          <w:sz w:val="21"/>
          <w:szCs w:val="21"/>
        </w:rPr>
        <w:t>2023’s revenue exceeded R220 billion (≈ US$11 billion)</w:t>
      </w:r>
      <w:r w:rsidRPr="03588F3F">
        <w:rPr>
          <w:rFonts w:ascii="Segoe UI" w:eastAsia="Segoe UI" w:hAnsi="Segoe UI" w:cs="Segoe UI"/>
          <w:sz w:val="21"/>
          <w:szCs w:val="21"/>
        </w:rPr>
        <w:t xml:space="preserve">, and 2024–2025 saw accelerated growth). In fact, MTN’s </w:t>
      </w:r>
      <w:r w:rsidRPr="03588F3F">
        <w:rPr>
          <w:rFonts w:ascii="Segoe UI" w:eastAsia="Segoe UI" w:hAnsi="Segoe UI" w:cs="Segoe UI"/>
          <w:b/>
          <w:bCs/>
          <w:sz w:val="21"/>
          <w:szCs w:val="21"/>
        </w:rPr>
        <w:t>service revenue for H1 2025 was up 22.4% year-on-year</w:t>
      </w:r>
      <w:r w:rsidRPr="03588F3F">
        <w:rPr>
          <w:rFonts w:ascii="Segoe UI" w:eastAsia="Segoe UI" w:hAnsi="Segoe UI" w:cs="Segoe UI"/>
          <w:sz w:val="21"/>
          <w:szCs w:val="21"/>
        </w:rPr>
        <w:t xml:space="preserve"> in constant currency, reflecting broad-based performance led by stellar results in MTN Nigeria and MTN Ghana. Operating margins improved slightly due to efficiency programs and scale benefits. </w:t>
      </w:r>
      <w:hyperlink r:id="rId8">
        <w:r w:rsidRPr="03588F3F">
          <w:rPr>
            <w:rStyle w:val="Hyperlink"/>
            <w:rFonts w:ascii="Segoe UI" w:eastAsia="Segoe UI" w:hAnsi="Segoe UI" w:cs="Segoe UI"/>
            <w:color w:val="464FEB"/>
            <w:sz w:val="21"/>
            <w:szCs w:val="21"/>
            <w:u w:val="none"/>
          </w:rPr>
          <w:t>[en.wikipedia.org]</w:t>
        </w:r>
      </w:hyperlink>
      <w:r w:rsidRPr="03588F3F">
        <w:rPr>
          <w:rFonts w:ascii="Segoe UI" w:eastAsia="Segoe UI" w:hAnsi="Segoe UI" w:cs="Segoe UI"/>
          <w:sz w:val="21"/>
          <w:szCs w:val="21"/>
        </w:rPr>
        <w:t xml:space="preserve"> </w:t>
      </w:r>
      <w:hyperlink r:id="rId9">
        <w:r w:rsidRPr="03588F3F">
          <w:rPr>
            <w:rStyle w:val="Hyperlink"/>
            <w:rFonts w:ascii="Segoe UI" w:eastAsia="Segoe UI" w:hAnsi="Segoe UI" w:cs="Segoe UI"/>
            <w:color w:val="464FEB"/>
            <w:sz w:val="21"/>
            <w:szCs w:val="21"/>
            <w:u w:val="none"/>
          </w:rPr>
          <w:t>[mtn.com]</w:t>
        </w:r>
      </w:hyperlink>
      <w:r w:rsidRPr="03588F3F">
        <w:rPr>
          <w:rFonts w:ascii="Segoe UI" w:eastAsia="Segoe UI" w:hAnsi="Segoe UI" w:cs="Segoe UI"/>
          <w:sz w:val="21"/>
          <w:szCs w:val="21"/>
        </w:rPr>
        <w:t xml:space="preserve"> </w:t>
      </w:r>
      <w:hyperlink r:id="rId10">
        <w:r w:rsidRPr="03588F3F">
          <w:rPr>
            <w:rStyle w:val="Hyperlink"/>
            <w:rFonts w:ascii="Segoe UI" w:eastAsia="Segoe UI" w:hAnsi="Segoe UI" w:cs="Segoe UI"/>
            <w:color w:val="464FEB"/>
            <w:sz w:val="21"/>
            <w:szCs w:val="21"/>
            <w:u w:val="none"/>
          </w:rPr>
          <w:t>[mtn.com]</w:t>
        </w:r>
      </w:hyperlink>
    </w:p>
    <w:p w14:paraId="47C2B2A6" w14:textId="2FFFB66B" w:rsidR="00C56286" w:rsidRDefault="3A22543A" w:rsidP="03588F3F">
      <w:pPr>
        <w:pStyle w:val="ListParagraph"/>
        <w:numPr>
          <w:ilvl w:val="0"/>
          <w:numId w:val="4"/>
        </w:numPr>
        <w:spacing w:after="0" w:line="300" w:lineRule="auto"/>
        <w:rPr>
          <w:rFonts w:ascii="Segoe UI" w:eastAsia="Segoe UI" w:hAnsi="Segoe UI" w:cs="Segoe UI"/>
          <w:color w:val="464FEB"/>
          <w:sz w:val="21"/>
          <w:szCs w:val="21"/>
        </w:rPr>
      </w:pPr>
      <w:r w:rsidRPr="03588F3F">
        <w:rPr>
          <w:rFonts w:ascii="Segoe UI" w:eastAsia="Segoe UI" w:hAnsi="Segoe UI" w:cs="Segoe UI"/>
          <w:b/>
          <w:bCs/>
          <w:sz w:val="21"/>
          <w:szCs w:val="21"/>
        </w:rPr>
        <w:t>Segment Performance:</w:t>
      </w:r>
      <w:r w:rsidRPr="03588F3F">
        <w:rPr>
          <w:rFonts w:ascii="Segoe UI" w:eastAsia="Segoe UI" w:hAnsi="Segoe UI" w:cs="Segoe UI"/>
          <w:sz w:val="21"/>
          <w:szCs w:val="21"/>
        </w:rPr>
        <w:t xml:space="preserve"> The Board reviewed contributions from major segments: </w:t>
      </w:r>
      <w:r w:rsidRPr="03588F3F">
        <w:rPr>
          <w:rFonts w:ascii="Segoe UI" w:eastAsia="Segoe UI" w:hAnsi="Segoe UI" w:cs="Segoe UI"/>
          <w:b/>
          <w:bCs/>
          <w:sz w:val="21"/>
          <w:szCs w:val="21"/>
        </w:rPr>
        <w:t>Voice revenue</w:t>
      </w:r>
      <w:r w:rsidRPr="03588F3F">
        <w:rPr>
          <w:rFonts w:ascii="Segoe UI" w:eastAsia="Segoe UI" w:hAnsi="Segoe UI" w:cs="Segoe UI"/>
          <w:sz w:val="21"/>
          <w:szCs w:val="21"/>
        </w:rPr>
        <w:t xml:space="preserve">, while still a large part of the business, had modest growth in 2025 as more customers shift to data and use of over-the-top services. </w:t>
      </w:r>
      <w:r w:rsidRPr="03588F3F">
        <w:rPr>
          <w:rFonts w:ascii="Segoe UI" w:eastAsia="Segoe UI" w:hAnsi="Segoe UI" w:cs="Segoe UI"/>
          <w:b/>
          <w:bCs/>
          <w:sz w:val="21"/>
          <w:szCs w:val="21"/>
        </w:rPr>
        <w:t>Data revenue</w:t>
      </w:r>
      <w:r w:rsidRPr="03588F3F">
        <w:rPr>
          <w:rFonts w:ascii="Segoe UI" w:eastAsia="Segoe UI" w:hAnsi="Segoe UI" w:cs="Segoe UI"/>
          <w:sz w:val="21"/>
          <w:szCs w:val="21"/>
        </w:rPr>
        <w:t xml:space="preserve"> saw robust growth, capitalizing on the expanded 4G coverage and higher smartphone adoption – for example, data revenues grew over </w:t>
      </w:r>
      <w:r w:rsidRPr="03588F3F">
        <w:rPr>
          <w:rFonts w:ascii="Segoe UI" w:eastAsia="Segoe UI" w:hAnsi="Segoe UI" w:cs="Segoe UI"/>
          <w:b/>
          <w:bCs/>
          <w:sz w:val="21"/>
          <w:szCs w:val="21"/>
        </w:rPr>
        <w:t>30% YoY in 2022</w:t>
      </w:r>
      <w:r w:rsidRPr="03588F3F">
        <w:rPr>
          <w:rFonts w:ascii="Segoe UI" w:eastAsia="Segoe UI" w:hAnsi="Segoe UI" w:cs="Segoe UI"/>
          <w:sz w:val="21"/>
          <w:szCs w:val="21"/>
        </w:rPr>
        <w:t xml:space="preserve"> and maintained strong momentum through 2025. The </w:t>
      </w:r>
      <w:r w:rsidRPr="03588F3F">
        <w:rPr>
          <w:rFonts w:ascii="Segoe UI" w:eastAsia="Segoe UI" w:hAnsi="Segoe UI" w:cs="Segoe UI"/>
          <w:b/>
          <w:bCs/>
          <w:sz w:val="21"/>
          <w:szCs w:val="21"/>
        </w:rPr>
        <w:t>fintech (Mobile Money) segment</w:t>
      </w:r>
      <w:r w:rsidRPr="03588F3F">
        <w:rPr>
          <w:rFonts w:ascii="Segoe UI" w:eastAsia="Segoe UI" w:hAnsi="Segoe UI" w:cs="Segoe UI"/>
          <w:sz w:val="21"/>
          <w:szCs w:val="21"/>
        </w:rPr>
        <w:t xml:space="preserve"> was a standout performer, with transaction volumes and revenues climbing rapidly; MTN’s fintech transaction values were up </w:t>
      </w:r>
      <w:r w:rsidRPr="03588F3F">
        <w:rPr>
          <w:rFonts w:ascii="Segoe UI" w:eastAsia="Segoe UI" w:hAnsi="Segoe UI" w:cs="Segoe UI"/>
          <w:b/>
          <w:bCs/>
          <w:sz w:val="21"/>
          <w:szCs w:val="21"/>
        </w:rPr>
        <w:t>45% year-on-year in the first half of 2025</w:t>
      </w:r>
      <w:r w:rsidRPr="03588F3F">
        <w:rPr>
          <w:rFonts w:ascii="Segoe UI" w:eastAsia="Segoe UI" w:hAnsi="Segoe UI" w:cs="Segoe UI"/>
          <w:sz w:val="21"/>
          <w:szCs w:val="21"/>
        </w:rPr>
        <w:t xml:space="preserve">, indicative of the exponential growth in MoMo and related services. The </w:t>
      </w:r>
      <w:r w:rsidRPr="03588F3F">
        <w:rPr>
          <w:rFonts w:ascii="Segoe UI" w:eastAsia="Segoe UI" w:hAnsi="Segoe UI" w:cs="Segoe UI"/>
          <w:b/>
          <w:bCs/>
          <w:sz w:val="21"/>
          <w:szCs w:val="21"/>
        </w:rPr>
        <w:t>enterprise business</w:t>
      </w:r>
      <w:r w:rsidRPr="03588F3F">
        <w:rPr>
          <w:rFonts w:ascii="Segoe UI" w:eastAsia="Segoe UI" w:hAnsi="Segoe UI" w:cs="Segoe UI"/>
          <w:sz w:val="21"/>
          <w:szCs w:val="21"/>
        </w:rPr>
        <w:t xml:space="preserve"> (providing connectivity and ICT services to companies) also delivered solid results, especially in connectivity and cloud services, albeit from a smaller base. The CFO pointed out that the successful delivery on these growth areas demonstrates the payoff of Ambition 2025’s strategy to diversify revenues. </w:t>
      </w:r>
      <w:hyperlink r:id="rId11">
        <w:r w:rsidRPr="03588F3F">
          <w:rPr>
            <w:rStyle w:val="Hyperlink"/>
            <w:rFonts w:ascii="Segoe UI" w:eastAsia="Segoe UI" w:hAnsi="Segoe UI" w:cs="Segoe UI"/>
            <w:color w:val="464FEB"/>
            <w:sz w:val="21"/>
            <w:szCs w:val="21"/>
            <w:u w:val="none"/>
          </w:rPr>
          <w:t>[mtn-investor.com]</w:t>
        </w:r>
      </w:hyperlink>
      <w:r w:rsidRPr="03588F3F">
        <w:rPr>
          <w:rFonts w:ascii="Segoe UI" w:eastAsia="Segoe UI" w:hAnsi="Segoe UI" w:cs="Segoe UI"/>
          <w:sz w:val="21"/>
          <w:szCs w:val="21"/>
        </w:rPr>
        <w:t xml:space="preserve"> </w:t>
      </w:r>
      <w:hyperlink r:id="rId12">
        <w:r w:rsidRPr="03588F3F">
          <w:rPr>
            <w:rStyle w:val="Hyperlink"/>
            <w:rFonts w:ascii="Segoe UI" w:eastAsia="Segoe UI" w:hAnsi="Segoe UI" w:cs="Segoe UI"/>
            <w:color w:val="464FEB"/>
            <w:sz w:val="21"/>
            <w:szCs w:val="21"/>
            <w:u w:val="none"/>
          </w:rPr>
          <w:t>[mtn.com]</w:t>
        </w:r>
      </w:hyperlink>
    </w:p>
    <w:p w14:paraId="1CD9077D" w14:textId="1C7EFF24" w:rsidR="00C56286" w:rsidRDefault="3A22543A" w:rsidP="03588F3F">
      <w:pPr>
        <w:pStyle w:val="ListParagraph"/>
        <w:numPr>
          <w:ilvl w:val="0"/>
          <w:numId w:val="4"/>
        </w:numPr>
        <w:spacing w:after="0" w:line="300" w:lineRule="auto"/>
        <w:rPr>
          <w:rFonts w:ascii="Segoe UI" w:eastAsia="Segoe UI" w:hAnsi="Segoe UI" w:cs="Segoe UI"/>
          <w:color w:val="464FEB"/>
          <w:sz w:val="21"/>
          <w:szCs w:val="21"/>
        </w:rPr>
      </w:pPr>
      <w:r w:rsidRPr="03588F3F">
        <w:rPr>
          <w:rFonts w:ascii="Segoe UI" w:eastAsia="Segoe UI" w:hAnsi="Segoe UI" w:cs="Segoe UI"/>
          <w:b/>
          <w:bCs/>
          <w:sz w:val="21"/>
          <w:szCs w:val="21"/>
        </w:rPr>
        <w:t>Profitability and Margins:</w:t>
      </w:r>
      <w:r w:rsidRPr="03588F3F">
        <w:rPr>
          <w:rFonts w:ascii="Segoe UI" w:eastAsia="Segoe UI" w:hAnsi="Segoe UI" w:cs="Segoe UI"/>
          <w:sz w:val="21"/>
          <w:szCs w:val="21"/>
        </w:rPr>
        <w:t xml:space="preserve"> The Audit Committee chair, referencing the audited statements, noted that MTN’s </w:t>
      </w:r>
      <w:r w:rsidRPr="03588F3F">
        <w:rPr>
          <w:rFonts w:ascii="Segoe UI" w:eastAsia="Segoe UI" w:hAnsi="Segoe UI" w:cs="Segoe UI"/>
          <w:b/>
          <w:bCs/>
          <w:sz w:val="21"/>
          <w:szCs w:val="21"/>
        </w:rPr>
        <w:t>EBITDA margin</w:t>
      </w:r>
      <w:r w:rsidRPr="03588F3F">
        <w:rPr>
          <w:rFonts w:ascii="Segoe UI" w:eastAsia="Segoe UI" w:hAnsi="Segoe UI" w:cs="Segoe UI"/>
          <w:sz w:val="21"/>
          <w:szCs w:val="21"/>
        </w:rPr>
        <w:t xml:space="preserve"> remained healthy and slightly higher than last year, aided by cost control measures and the scaling of digital services (which often have lower marginal costs once launched). Several one-off items were highlighted: for instance, profits were boosted by proceeds from the partial sale of an infrastructure subsidiary stake (part of the asset monetization plan), while on the other hand, currency devaluations in some markets (e.g., a Naira devaluation in mid-2025) created forex losses on repatriation of funds. The Board was satisfied that underlying performance was strong after adjusting for these items. Net profit for 2025 grew significantly compared to 2024, and the Group’s balance sheet remained solid with a manageable debt profile. The </w:t>
      </w:r>
      <w:r w:rsidRPr="03588F3F">
        <w:rPr>
          <w:rFonts w:ascii="Segoe UI" w:eastAsia="Segoe UI" w:hAnsi="Segoe UI" w:cs="Segoe UI"/>
          <w:b/>
          <w:bCs/>
          <w:sz w:val="21"/>
          <w:szCs w:val="21"/>
        </w:rPr>
        <w:t>market capitalization</w:t>
      </w:r>
      <w:r w:rsidRPr="03588F3F">
        <w:rPr>
          <w:rFonts w:ascii="Segoe UI" w:eastAsia="Segoe UI" w:hAnsi="Segoe UI" w:cs="Segoe UI"/>
          <w:sz w:val="21"/>
          <w:szCs w:val="21"/>
        </w:rPr>
        <w:t xml:space="preserve"> of MTN Group is around </w:t>
      </w:r>
      <w:r w:rsidRPr="03588F3F">
        <w:rPr>
          <w:rFonts w:ascii="Segoe UI" w:eastAsia="Segoe UI" w:hAnsi="Segoe UI" w:cs="Segoe UI"/>
          <w:b/>
          <w:bCs/>
          <w:sz w:val="21"/>
          <w:szCs w:val="21"/>
        </w:rPr>
        <w:t>R150 billion</w:t>
      </w:r>
      <w:r w:rsidRPr="03588F3F">
        <w:rPr>
          <w:rFonts w:ascii="Segoe UI" w:eastAsia="Segoe UI" w:hAnsi="Segoe UI" w:cs="Segoe UI"/>
          <w:sz w:val="21"/>
          <w:szCs w:val="21"/>
        </w:rPr>
        <w:t xml:space="preserve"> as of early 2026, reflecting investor confidence in MTN’s growth and resilience. </w:t>
      </w:r>
      <w:hyperlink r:id="rId13">
        <w:r w:rsidRPr="03588F3F">
          <w:rPr>
            <w:rStyle w:val="Hyperlink"/>
            <w:rFonts w:ascii="Segoe UI" w:eastAsia="Segoe UI" w:hAnsi="Segoe UI" w:cs="Segoe UI"/>
            <w:color w:val="464FEB"/>
            <w:sz w:val="21"/>
            <w:szCs w:val="21"/>
            <w:u w:val="none"/>
          </w:rPr>
          <w:t>[mtn.com]</w:t>
        </w:r>
      </w:hyperlink>
    </w:p>
    <w:p w14:paraId="2CBD30DE" w14:textId="784585C5" w:rsidR="00C56286" w:rsidRDefault="3A22543A" w:rsidP="03588F3F">
      <w:pPr>
        <w:pStyle w:val="ListParagraph"/>
        <w:numPr>
          <w:ilvl w:val="0"/>
          <w:numId w:val="4"/>
        </w:numPr>
        <w:spacing w:after="0" w:line="300" w:lineRule="auto"/>
        <w:rPr>
          <w:rFonts w:ascii="Segoe UI" w:eastAsia="Segoe UI" w:hAnsi="Segoe UI" w:cs="Segoe UI"/>
          <w:sz w:val="21"/>
          <w:szCs w:val="21"/>
        </w:rPr>
      </w:pPr>
      <w:r w:rsidRPr="03588F3F">
        <w:rPr>
          <w:rFonts w:ascii="Segoe UI" w:eastAsia="Segoe UI" w:hAnsi="Segoe UI" w:cs="Segoe UI"/>
          <w:b/>
          <w:bCs/>
          <w:sz w:val="21"/>
          <w:szCs w:val="21"/>
        </w:rPr>
        <w:t>Dividend and Shareholder Returns:</w:t>
      </w:r>
      <w:r w:rsidRPr="03588F3F">
        <w:rPr>
          <w:rFonts w:ascii="Segoe UI" w:eastAsia="Segoe UI" w:hAnsi="Segoe UI" w:cs="Segoe UI"/>
          <w:sz w:val="21"/>
          <w:szCs w:val="21"/>
        </w:rPr>
        <w:t xml:space="preserve"> The Board discussed the final dividend for 2025. MTN’s policy in recent years has been a </w:t>
      </w:r>
      <w:r w:rsidRPr="03588F3F">
        <w:rPr>
          <w:rFonts w:ascii="Segoe UI" w:eastAsia="Segoe UI" w:hAnsi="Segoe UI" w:cs="Segoe UI"/>
          <w:i/>
          <w:iCs/>
          <w:sz w:val="21"/>
          <w:szCs w:val="21"/>
        </w:rPr>
        <w:t>progressive dividend</w:t>
      </w:r>
      <w:r w:rsidRPr="03588F3F">
        <w:rPr>
          <w:rFonts w:ascii="Segoe UI" w:eastAsia="Segoe UI" w:hAnsi="Segoe UI" w:cs="Segoe UI"/>
          <w:sz w:val="21"/>
          <w:szCs w:val="21"/>
        </w:rPr>
        <w:t xml:space="preserve"> aligned with earnings and cash flow. Given the strong results, the CFO proposed a final dividend that would bring the total dividend for 2025 to an increase over the prior year (specific figures were reviewed, e.g., a full-year dividend per share in line with the company’s guidance). The Board examined the payout ratio, ensuring that it balanced rewarding shareholders and retaining enough cash for continued network investment and debt reduction. All were in agreement that MTN’s improved cash generation (with </w:t>
      </w:r>
      <w:r w:rsidRPr="03588F3F">
        <w:rPr>
          <w:rFonts w:ascii="Segoe UI" w:eastAsia="Segoe UI" w:hAnsi="Segoe UI" w:cs="Segoe UI"/>
          <w:b/>
          <w:bCs/>
          <w:sz w:val="21"/>
          <w:szCs w:val="21"/>
        </w:rPr>
        <w:t>operating free cash flow</w:t>
      </w:r>
      <w:r w:rsidRPr="03588F3F">
        <w:rPr>
          <w:rFonts w:ascii="Segoe UI" w:eastAsia="Segoe UI" w:hAnsi="Segoe UI" w:cs="Segoe UI"/>
          <w:sz w:val="21"/>
          <w:szCs w:val="21"/>
        </w:rPr>
        <w:t xml:space="preserve"> benefiting from revenue growth and disciplined capex) supports a healthy dividend.</w:t>
      </w:r>
    </w:p>
    <w:p w14:paraId="59219813" w14:textId="1935CBD2" w:rsidR="00C56286" w:rsidRDefault="3A22543A" w:rsidP="03588F3F">
      <w:pPr>
        <w:pStyle w:val="ListParagraph"/>
        <w:numPr>
          <w:ilvl w:val="0"/>
          <w:numId w:val="4"/>
        </w:numPr>
        <w:spacing w:after="0" w:line="300" w:lineRule="auto"/>
        <w:rPr>
          <w:rFonts w:ascii="Segoe UI" w:eastAsia="Segoe UI" w:hAnsi="Segoe UI" w:cs="Segoe UI"/>
          <w:color w:val="464FEB"/>
          <w:sz w:val="21"/>
          <w:szCs w:val="21"/>
        </w:rPr>
      </w:pPr>
      <w:r w:rsidRPr="03588F3F">
        <w:rPr>
          <w:rFonts w:ascii="Segoe UI" w:eastAsia="Segoe UI" w:hAnsi="Segoe UI" w:cs="Segoe UI"/>
          <w:b/>
          <w:bCs/>
          <w:sz w:val="21"/>
          <w:szCs w:val="21"/>
        </w:rPr>
        <w:t>Outlook 2026 and Strategy Beyond:</w:t>
      </w:r>
      <w:r w:rsidRPr="03588F3F">
        <w:rPr>
          <w:rFonts w:ascii="Segoe UI" w:eastAsia="Segoe UI" w:hAnsi="Segoe UI" w:cs="Segoe UI"/>
          <w:sz w:val="21"/>
          <w:szCs w:val="21"/>
        </w:rPr>
        <w:t xml:space="preserve"> As 2025 was the penultimate year of Ambition 2025, the Board also looked ahead. The CEO provided an outlook for 2026, which is the final year of the current strategy and MTN’s </w:t>
      </w:r>
      <w:r w:rsidRPr="03588F3F">
        <w:rPr>
          <w:rFonts w:ascii="Segoe UI" w:eastAsia="Segoe UI" w:hAnsi="Segoe UI" w:cs="Segoe UI"/>
          <w:i/>
          <w:iCs/>
          <w:sz w:val="21"/>
          <w:szCs w:val="21"/>
        </w:rPr>
        <w:t>30th anniversary</w:t>
      </w:r>
      <w:r w:rsidRPr="03588F3F">
        <w:rPr>
          <w:rFonts w:ascii="Segoe UI" w:eastAsia="Segoe UI" w:hAnsi="Segoe UI" w:cs="Segoe UI"/>
          <w:sz w:val="21"/>
          <w:szCs w:val="21"/>
        </w:rPr>
        <w:t xml:space="preserve">. Expected headwinds included global economic uncertainties and foreign exchange volatility, but the underlying demand for connectivity and digital services in Africa remains strong. The Board discussed preliminary plans for the next strategic cycle (informally dubbed </w:t>
      </w:r>
      <w:r w:rsidRPr="03588F3F">
        <w:rPr>
          <w:rFonts w:ascii="Segoe UI" w:eastAsia="Segoe UI" w:hAnsi="Segoe UI" w:cs="Segoe UI"/>
          <w:b/>
          <w:bCs/>
          <w:sz w:val="21"/>
          <w:szCs w:val="21"/>
        </w:rPr>
        <w:t>“Beyond 2025”</w:t>
      </w:r>
      <w:r w:rsidRPr="03588F3F">
        <w:rPr>
          <w:rFonts w:ascii="Segoe UI" w:eastAsia="Segoe UI" w:hAnsi="Segoe UI" w:cs="Segoe UI"/>
          <w:sz w:val="21"/>
          <w:szCs w:val="21"/>
        </w:rPr>
        <w:t xml:space="preserve">), focusing on consolidating MTN’s position in </w:t>
      </w:r>
      <w:r w:rsidRPr="03588F3F">
        <w:rPr>
          <w:rFonts w:ascii="Segoe UI" w:eastAsia="Segoe UI" w:hAnsi="Segoe UI" w:cs="Segoe UI"/>
          <w:b/>
          <w:bCs/>
          <w:sz w:val="21"/>
          <w:szCs w:val="21"/>
        </w:rPr>
        <w:t>connectivity, fintech, and digital infrastructure</w:t>
      </w:r>
      <w:r w:rsidRPr="03588F3F">
        <w:rPr>
          <w:rFonts w:ascii="Segoe UI" w:eastAsia="Segoe UI" w:hAnsi="Segoe UI" w:cs="Segoe UI"/>
          <w:sz w:val="21"/>
          <w:szCs w:val="21"/>
        </w:rPr>
        <w:t xml:space="preserve"> as three core growth pillars. There was consensus that MTN should aim to maintain double-digit revenue growth, continue improving margins, and achieve its ESG targets, thereby creating long-term shared value. Directors also raised the importance of managing geopolitical and regulatory risks, as seen in prior years – a reminder to remain vigilant even amid strong financial performance. </w:t>
      </w:r>
      <w:hyperlink r:id="rId14">
        <w:r w:rsidRPr="03588F3F">
          <w:rPr>
            <w:rStyle w:val="Hyperlink"/>
            <w:rFonts w:ascii="Segoe UI" w:eastAsia="Segoe UI" w:hAnsi="Segoe UI" w:cs="Segoe UI"/>
            <w:color w:val="464FEB"/>
            <w:sz w:val="21"/>
            <w:szCs w:val="21"/>
            <w:u w:val="none"/>
          </w:rPr>
          <w:t>[CodeInterpreter | InteractiveChart]</w:t>
        </w:r>
      </w:hyperlink>
    </w:p>
    <w:p w14:paraId="4F9A4AC0" w14:textId="402DFEE1" w:rsidR="00C56286" w:rsidRDefault="3A22543A" w:rsidP="03588F3F">
      <w:pPr>
        <w:spacing w:after="0" w:line="300" w:lineRule="auto"/>
      </w:pPr>
      <w:r w:rsidRPr="03588F3F">
        <w:rPr>
          <w:rFonts w:ascii="Segoe UI" w:eastAsia="Segoe UI" w:hAnsi="Segoe UI" w:cs="Segoe UI"/>
          <w:b/>
          <w:bCs/>
          <w:sz w:val="21"/>
          <w:szCs w:val="21"/>
        </w:rPr>
        <w:t>Decisions Made:</w:t>
      </w:r>
    </w:p>
    <w:p w14:paraId="5DFA4536" w14:textId="6BF6B291" w:rsidR="00C56286" w:rsidRDefault="3A22543A" w:rsidP="03588F3F">
      <w:pPr>
        <w:pStyle w:val="ListParagraph"/>
        <w:numPr>
          <w:ilvl w:val="0"/>
          <w:numId w:val="3"/>
        </w:numPr>
        <w:spacing w:after="0" w:line="300" w:lineRule="auto"/>
        <w:rPr>
          <w:rFonts w:ascii="Segoe UI" w:eastAsia="Segoe UI" w:hAnsi="Segoe UI" w:cs="Segoe UI"/>
          <w:sz w:val="21"/>
          <w:szCs w:val="21"/>
        </w:rPr>
      </w:pPr>
      <w:r w:rsidRPr="03588F3F">
        <w:rPr>
          <w:rFonts w:ascii="Segoe UI" w:eastAsia="Segoe UI" w:hAnsi="Segoe UI" w:cs="Segoe UI"/>
          <w:b/>
          <w:bCs/>
          <w:sz w:val="21"/>
          <w:szCs w:val="21"/>
        </w:rPr>
        <w:t>Approval of Financial Statements:</w:t>
      </w:r>
      <w:r w:rsidRPr="03588F3F">
        <w:rPr>
          <w:rFonts w:ascii="Segoe UI" w:eastAsia="Segoe UI" w:hAnsi="Segoe UI" w:cs="Segoe UI"/>
          <w:sz w:val="21"/>
          <w:szCs w:val="21"/>
        </w:rPr>
        <w:t xml:space="preserve"> The Board approved the </w:t>
      </w:r>
      <w:r w:rsidRPr="03588F3F">
        <w:rPr>
          <w:rFonts w:ascii="Segoe UI" w:eastAsia="Segoe UI" w:hAnsi="Segoe UI" w:cs="Segoe UI"/>
          <w:b/>
          <w:bCs/>
          <w:sz w:val="21"/>
          <w:szCs w:val="21"/>
        </w:rPr>
        <w:t>audited financial statements for FY 2025</w:t>
      </w:r>
      <w:r w:rsidRPr="03588F3F">
        <w:rPr>
          <w:rFonts w:ascii="Segoe UI" w:eastAsia="Segoe UI" w:hAnsi="Segoe UI" w:cs="Segoe UI"/>
          <w:sz w:val="21"/>
          <w:szCs w:val="21"/>
        </w:rPr>
        <w:t>, as recommended by the Audit &amp; Risk Committee. The external auditors issued an unqualified opinion, and the Board was satisfied with the financial reporting.</w:t>
      </w:r>
    </w:p>
    <w:p w14:paraId="44A3E5E8" w14:textId="3EF39F6D" w:rsidR="00C56286" w:rsidRDefault="3A22543A" w:rsidP="03588F3F">
      <w:pPr>
        <w:pStyle w:val="ListParagraph"/>
        <w:numPr>
          <w:ilvl w:val="0"/>
          <w:numId w:val="3"/>
        </w:numPr>
        <w:spacing w:after="0" w:line="300" w:lineRule="auto"/>
        <w:rPr>
          <w:rFonts w:ascii="Segoe UI" w:eastAsia="Segoe UI" w:hAnsi="Segoe UI" w:cs="Segoe UI"/>
          <w:sz w:val="21"/>
          <w:szCs w:val="21"/>
        </w:rPr>
      </w:pPr>
      <w:r w:rsidRPr="03588F3F">
        <w:rPr>
          <w:rFonts w:ascii="Segoe UI" w:eastAsia="Segoe UI" w:hAnsi="Segoe UI" w:cs="Segoe UI"/>
          <w:b/>
          <w:bCs/>
          <w:sz w:val="21"/>
          <w:szCs w:val="21"/>
        </w:rPr>
        <w:t>Dividend Declaration:</w:t>
      </w:r>
      <w:r w:rsidRPr="03588F3F">
        <w:rPr>
          <w:rFonts w:ascii="Segoe UI" w:eastAsia="Segoe UI" w:hAnsi="Segoe UI" w:cs="Segoe UI"/>
          <w:sz w:val="21"/>
          <w:szCs w:val="21"/>
        </w:rPr>
        <w:t xml:space="preserve"> The Board approved a </w:t>
      </w:r>
      <w:r w:rsidRPr="03588F3F">
        <w:rPr>
          <w:rFonts w:ascii="Segoe UI" w:eastAsia="Segoe UI" w:hAnsi="Segoe UI" w:cs="Segoe UI"/>
          <w:b/>
          <w:bCs/>
          <w:sz w:val="21"/>
          <w:szCs w:val="21"/>
        </w:rPr>
        <w:t>final dividend for 2025</w:t>
      </w:r>
      <w:r w:rsidRPr="03588F3F">
        <w:rPr>
          <w:rFonts w:ascii="Segoe UI" w:eastAsia="Segoe UI" w:hAnsi="Segoe UI" w:cs="Segoe UI"/>
          <w:sz w:val="21"/>
          <w:szCs w:val="21"/>
        </w:rPr>
        <w:t>, in line with the company’s dividend policy and financial position. (Exact details are to be released in the official results announcement, but it represents an increase, reflecting the strong earnings growth.) The Board also approved guidance to shareholders that, barring any major unforeseen circumstances, MTN aims to sustain a growing dividend into 2026.</w:t>
      </w:r>
    </w:p>
    <w:p w14:paraId="392CA973" w14:textId="19FFA8E9" w:rsidR="00C56286" w:rsidRDefault="3A22543A" w:rsidP="03588F3F">
      <w:pPr>
        <w:pStyle w:val="ListParagraph"/>
        <w:numPr>
          <w:ilvl w:val="0"/>
          <w:numId w:val="3"/>
        </w:numPr>
        <w:spacing w:after="0" w:line="300" w:lineRule="auto"/>
        <w:rPr>
          <w:rFonts w:ascii="Segoe UI" w:eastAsia="Segoe UI" w:hAnsi="Segoe UI" w:cs="Segoe UI"/>
          <w:sz w:val="21"/>
          <w:szCs w:val="21"/>
        </w:rPr>
      </w:pPr>
      <w:r w:rsidRPr="03588F3F">
        <w:rPr>
          <w:rFonts w:ascii="Segoe UI" w:eastAsia="Segoe UI" w:hAnsi="Segoe UI" w:cs="Segoe UI"/>
          <w:b/>
          <w:bCs/>
          <w:sz w:val="21"/>
          <w:szCs w:val="21"/>
        </w:rPr>
        <w:t>Reforecast 2026 Targets:</w:t>
      </w:r>
      <w:r w:rsidRPr="03588F3F">
        <w:rPr>
          <w:rFonts w:ascii="Segoe UI" w:eastAsia="Segoe UI" w:hAnsi="Segoe UI" w:cs="Segoe UI"/>
          <w:sz w:val="21"/>
          <w:szCs w:val="21"/>
        </w:rPr>
        <w:t xml:space="preserve"> Management’s proposed 2026 targets (for revenue growth, EBITDA margin, CAPEX, subscriber net additions, etc.) were reviewed and agreed upon. These targets align with achieving the overall Ambition 2025 objectives by year-end. The Board emphasized that 2026 targets should be ambitious yet attainable, pushing management to maintain momentum.</w:t>
      </w:r>
    </w:p>
    <w:p w14:paraId="44FEBDF8" w14:textId="39C1075B" w:rsidR="00C56286" w:rsidRDefault="3A22543A" w:rsidP="03588F3F">
      <w:pPr>
        <w:pStyle w:val="ListParagraph"/>
        <w:numPr>
          <w:ilvl w:val="0"/>
          <w:numId w:val="3"/>
        </w:numPr>
        <w:spacing w:after="0" w:line="300" w:lineRule="auto"/>
        <w:rPr>
          <w:rFonts w:ascii="Segoe UI" w:eastAsia="Segoe UI" w:hAnsi="Segoe UI" w:cs="Segoe UI"/>
          <w:sz w:val="21"/>
          <w:szCs w:val="21"/>
        </w:rPr>
      </w:pPr>
      <w:r w:rsidRPr="03588F3F">
        <w:rPr>
          <w:rFonts w:ascii="Segoe UI" w:eastAsia="Segoe UI" w:hAnsi="Segoe UI" w:cs="Segoe UI"/>
          <w:b/>
          <w:bCs/>
          <w:sz w:val="21"/>
          <w:szCs w:val="21"/>
        </w:rPr>
        <w:t>Strategic Planning Committee:</w:t>
      </w:r>
      <w:r w:rsidRPr="03588F3F">
        <w:rPr>
          <w:rFonts w:ascii="Segoe UI" w:eastAsia="Segoe UI" w:hAnsi="Segoe UI" w:cs="Segoe UI"/>
          <w:sz w:val="21"/>
          <w:szCs w:val="21"/>
        </w:rPr>
        <w:t xml:space="preserve"> The Board instituted a special committee (comprising select Board members and executives) to begin formulating the </w:t>
      </w:r>
      <w:r w:rsidRPr="03588F3F">
        <w:rPr>
          <w:rFonts w:ascii="Segoe UI" w:eastAsia="Segoe UI" w:hAnsi="Segoe UI" w:cs="Segoe UI"/>
          <w:b/>
          <w:bCs/>
          <w:sz w:val="21"/>
          <w:szCs w:val="21"/>
        </w:rPr>
        <w:t>post-2025 strategic plan</w:t>
      </w:r>
      <w:r w:rsidRPr="03588F3F">
        <w:rPr>
          <w:rFonts w:ascii="Segoe UI" w:eastAsia="Segoe UI" w:hAnsi="Segoe UI" w:cs="Segoe UI"/>
          <w:sz w:val="21"/>
          <w:szCs w:val="21"/>
        </w:rPr>
        <w:t>. This committee will work over the next several months and present a draft “Beyond 2025” strategy for consideration by the full Board in the second half of 2026.</w:t>
      </w:r>
    </w:p>
    <w:p w14:paraId="349115C0" w14:textId="0270D043" w:rsidR="00C56286" w:rsidRDefault="3A22543A" w:rsidP="03588F3F">
      <w:pPr>
        <w:spacing w:after="0" w:line="300" w:lineRule="auto"/>
      </w:pPr>
      <w:r w:rsidRPr="03588F3F">
        <w:rPr>
          <w:rFonts w:ascii="Segoe UI" w:eastAsia="Segoe UI" w:hAnsi="Segoe UI" w:cs="Segoe UI"/>
          <w:b/>
          <w:bCs/>
          <w:sz w:val="21"/>
          <w:szCs w:val="21"/>
        </w:rPr>
        <w:t>Action Items:</w:t>
      </w:r>
    </w:p>
    <w:p w14:paraId="42F87E6B" w14:textId="12A7F727" w:rsidR="00C56286" w:rsidRDefault="3A22543A" w:rsidP="03588F3F">
      <w:pPr>
        <w:pStyle w:val="ListParagraph"/>
        <w:numPr>
          <w:ilvl w:val="0"/>
          <w:numId w:val="2"/>
        </w:numPr>
        <w:spacing w:after="0" w:line="300" w:lineRule="auto"/>
        <w:rPr>
          <w:rFonts w:ascii="Segoe UI" w:eastAsia="Segoe UI" w:hAnsi="Segoe UI" w:cs="Segoe UI"/>
          <w:color w:val="464FEB"/>
          <w:sz w:val="21"/>
          <w:szCs w:val="21"/>
        </w:rPr>
      </w:pPr>
      <w:r w:rsidRPr="03588F3F">
        <w:rPr>
          <w:rFonts w:ascii="Segoe UI" w:eastAsia="Segoe UI" w:hAnsi="Segoe UI" w:cs="Segoe UI"/>
          <w:i/>
          <w:iCs/>
          <w:sz w:val="21"/>
          <w:szCs w:val="21"/>
        </w:rPr>
        <w:t>Investor Relations:</w:t>
      </w:r>
      <w:r w:rsidRPr="03588F3F">
        <w:rPr>
          <w:rFonts w:ascii="Segoe UI" w:eastAsia="Segoe UI" w:hAnsi="Segoe UI" w:cs="Segoe UI"/>
          <w:sz w:val="21"/>
          <w:szCs w:val="21"/>
        </w:rPr>
        <w:t xml:space="preserve"> Prepare the </w:t>
      </w:r>
      <w:r w:rsidRPr="03588F3F">
        <w:rPr>
          <w:rFonts w:ascii="Segoe UI" w:eastAsia="Segoe UI" w:hAnsi="Segoe UI" w:cs="Segoe UI"/>
          <w:b/>
          <w:bCs/>
          <w:sz w:val="21"/>
          <w:szCs w:val="21"/>
        </w:rPr>
        <w:t>public disclosure</w:t>
      </w:r>
      <w:r w:rsidRPr="03588F3F">
        <w:rPr>
          <w:rFonts w:ascii="Segoe UI" w:eastAsia="Segoe UI" w:hAnsi="Segoe UI" w:cs="Segoe UI"/>
          <w:sz w:val="21"/>
          <w:szCs w:val="21"/>
        </w:rPr>
        <w:t xml:space="preserve"> of the 2025 annual results. This includes finalizing the earnings press release, investor presentation, and organizing an investor/analyst call. Emphasize key achievements (subscriber growth to 300M+, strong financials with ~R220+ billion revenue in 2025, etc.) and MTN’s positive outlook. Ensure to highlight growth in data and fintech as evidence of successful transformation. </w:t>
      </w:r>
      <w:hyperlink r:id="rId15">
        <w:r w:rsidRPr="03588F3F">
          <w:rPr>
            <w:rStyle w:val="Hyperlink"/>
            <w:rFonts w:ascii="Segoe UI" w:eastAsia="Segoe UI" w:hAnsi="Segoe UI" w:cs="Segoe UI"/>
            <w:color w:val="464FEB"/>
            <w:sz w:val="21"/>
            <w:szCs w:val="21"/>
            <w:u w:val="none"/>
          </w:rPr>
          <w:t>[mtn.com]</w:t>
        </w:r>
      </w:hyperlink>
      <w:r w:rsidRPr="03588F3F">
        <w:rPr>
          <w:rFonts w:ascii="Segoe UI" w:eastAsia="Segoe UI" w:hAnsi="Segoe UI" w:cs="Segoe UI"/>
          <w:sz w:val="21"/>
          <w:szCs w:val="21"/>
        </w:rPr>
        <w:t xml:space="preserve">, </w:t>
      </w:r>
      <w:hyperlink r:id="rId16">
        <w:r w:rsidRPr="03588F3F">
          <w:rPr>
            <w:rStyle w:val="Hyperlink"/>
            <w:rFonts w:ascii="Segoe UI" w:eastAsia="Segoe UI" w:hAnsi="Segoe UI" w:cs="Segoe UI"/>
            <w:color w:val="464FEB"/>
            <w:sz w:val="21"/>
            <w:szCs w:val="21"/>
            <w:u w:val="none"/>
          </w:rPr>
          <w:t>[mtn.com]</w:t>
        </w:r>
      </w:hyperlink>
    </w:p>
    <w:p w14:paraId="621C988D" w14:textId="0E0F54FC" w:rsidR="00C56286" w:rsidRDefault="3A22543A" w:rsidP="03588F3F">
      <w:pPr>
        <w:pStyle w:val="ListParagraph"/>
        <w:numPr>
          <w:ilvl w:val="0"/>
          <w:numId w:val="2"/>
        </w:numPr>
        <w:spacing w:after="0" w:line="300" w:lineRule="auto"/>
        <w:rPr>
          <w:rFonts w:ascii="Segoe UI" w:eastAsia="Segoe UI" w:hAnsi="Segoe UI" w:cs="Segoe UI"/>
          <w:sz w:val="21"/>
          <w:szCs w:val="21"/>
        </w:rPr>
      </w:pPr>
      <w:r w:rsidRPr="03588F3F">
        <w:rPr>
          <w:rFonts w:ascii="Segoe UI" w:eastAsia="Segoe UI" w:hAnsi="Segoe UI" w:cs="Segoe UI"/>
          <w:i/>
          <w:iCs/>
          <w:sz w:val="21"/>
          <w:szCs w:val="21"/>
        </w:rPr>
        <w:t>Group Finance:</w:t>
      </w:r>
      <w:r w:rsidRPr="03588F3F">
        <w:rPr>
          <w:rFonts w:ascii="Segoe UI" w:eastAsia="Segoe UI" w:hAnsi="Segoe UI" w:cs="Segoe UI"/>
          <w:sz w:val="21"/>
          <w:szCs w:val="21"/>
        </w:rPr>
        <w:t xml:space="preserve"> Execute the approved dividend payout process, in line with JSE requirements. Also, begin the process of </w:t>
      </w:r>
      <w:r w:rsidRPr="03588F3F">
        <w:rPr>
          <w:rFonts w:ascii="Segoe UI" w:eastAsia="Segoe UI" w:hAnsi="Segoe UI" w:cs="Segoe UI"/>
          <w:b/>
          <w:bCs/>
          <w:sz w:val="21"/>
          <w:szCs w:val="21"/>
        </w:rPr>
        <w:t>annual report</w:t>
      </w:r>
      <w:r w:rsidRPr="03588F3F">
        <w:rPr>
          <w:rFonts w:ascii="Segoe UI" w:eastAsia="Segoe UI" w:hAnsi="Segoe UI" w:cs="Segoe UI"/>
          <w:sz w:val="21"/>
          <w:szCs w:val="21"/>
        </w:rPr>
        <w:t xml:space="preserve"> and integrated report preparation for 2025, incorporating not just financials but also updates on strategic progress and ESG performance (e.g., inclusion of key data on carbon footprint, social investment, etc., to maintain transparency).</w:t>
      </w:r>
    </w:p>
    <w:p w14:paraId="64F12FFD" w14:textId="49CE337D" w:rsidR="00C56286" w:rsidRDefault="3A22543A" w:rsidP="03588F3F">
      <w:pPr>
        <w:pStyle w:val="ListParagraph"/>
        <w:numPr>
          <w:ilvl w:val="0"/>
          <w:numId w:val="2"/>
        </w:numPr>
        <w:spacing w:after="0" w:line="300" w:lineRule="auto"/>
        <w:rPr>
          <w:rFonts w:ascii="Segoe UI" w:eastAsia="Segoe UI" w:hAnsi="Segoe UI" w:cs="Segoe UI"/>
          <w:color w:val="464FEB"/>
          <w:sz w:val="21"/>
          <w:szCs w:val="21"/>
        </w:rPr>
      </w:pPr>
      <w:r w:rsidRPr="03588F3F">
        <w:rPr>
          <w:rFonts w:ascii="Segoe UI" w:eastAsia="Segoe UI" w:hAnsi="Segoe UI" w:cs="Segoe UI"/>
          <w:i/>
          <w:iCs/>
          <w:sz w:val="21"/>
          <w:szCs w:val="21"/>
        </w:rPr>
        <w:t>Strategic Roadmap (Beyond 2025):</w:t>
      </w:r>
      <w:r w:rsidRPr="03588F3F">
        <w:rPr>
          <w:rFonts w:ascii="Segoe UI" w:eastAsia="Segoe UI" w:hAnsi="Segoe UI" w:cs="Segoe UI"/>
          <w:sz w:val="21"/>
          <w:szCs w:val="21"/>
        </w:rPr>
        <w:t xml:space="preserve"> The Strategy Committee (CEO, select Board members) to schedule workshops starting from Q2 2026. As part of this, gather input from major stakeholders – including market CEOs, employees, investors, and possibly customers – to shape the future vision. Consider how MTN can further capitalize on its platforms in connectivity, fintech, and digital services for the next 5–10 years. A full strategy proposal is expected to be tabled by Q4 2026. </w:t>
      </w:r>
      <w:hyperlink r:id="rId17">
        <w:r w:rsidRPr="03588F3F">
          <w:rPr>
            <w:rStyle w:val="Hyperlink"/>
            <w:rFonts w:ascii="Segoe UI" w:eastAsia="Segoe UI" w:hAnsi="Segoe UI" w:cs="Segoe UI"/>
            <w:color w:val="464FEB"/>
            <w:sz w:val="21"/>
            <w:szCs w:val="21"/>
            <w:u w:val="none"/>
          </w:rPr>
          <w:t>[CodeInterpreter | InteractiveChart]</w:t>
        </w:r>
      </w:hyperlink>
    </w:p>
    <w:p w14:paraId="7673F401" w14:textId="0CF4C4BC" w:rsidR="00C56286" w:rsidRDefault="3A22543A" w:rsidP="03588F3F">
      <w:pPr>
        <w:pStyle w:val="ListParagraph"/>
        <w:numPr>
          <w:ilvl w:val="0"/>
          <w:numId w:val="2"/>
        </w:numPr>
        <w:spacing w:after="0" w:line="300" w:lineRule="auto"/>
        <w:rPr>
          <w:rFonts w:ascii="Segoe UI" w:eastAsia="Segoe UI" w:hAnsi="Segoe UI" w:cs="Segoe UI"/>
          <w:sz w:val="21"/>
          <w:szCs w:val="21"/>
        </w:rPr>
      </w:pPr>
      <w:r w:rsidRPr="03588F3F">
        <w:rPr>
          <w:rFonts w:ascii="Segoe UI" w:eastAsia="Segoe UI" w:hAnsi="Segoe UI" w:cs="Segoe UI"/>
          <w:i/>
          <w:iCs/>
          <w:sz w:val="21"/>
          <w:szCs w:val="21"/>
        </w:rPr>
        <w:t>Risk Review:</w:t>
      </w:r>
      <w:r w:rsidRPr="03588F3F">
        <w:rPr>
          <w:rFonts w:ascii="Segoe UI" w:eastAsia="Segoe UI" w:hAnsi="Segoe UI" w:cs="Segoe UI"/>
          <w:sz w:val="21"/>
          <w:szCs w:val="21"/>
        </w:rPr>
        <w:t xml:space="preserve"> Given MTN’s growth and broadening scope, the Board requested an updated </w:t>
      </w:r>
      <w:r w:rsidRPr="03588F3F">
        <w:rPr>
          <w:rFonts w:ascii="Segoe UI" w:eastAsia="Segoe UI" w:hAnsi="Segoe UI" w:cs="Segoe UI"/>
          <w:b/>
          <w:bCs/>
          <w:sz w:val="21"/>
          <w:szCs w:val="21"/>
        </w:rPr>
        <w:t>enterprise risk assessment</w:t>
      </w:r>
      <w:r w:rsidRPr="03588F3F">
        <w:rPr>
          <w:rFonts w:ascii="Segoe UI" w:eastAsia="Segoe UI" w:hAnsi="Segoe UI" w:cs="Segoe UI"/>
          <w:sz w:val="21"/>
          <w:szCs w:val="21"/>
        </w:rPr>
        <w:t xml:space="preserve"> for 2026. The Chief Risk Officer is to present at the next Board meeting a refreshed look at major risks (financial, operational, geopolitical, cyber, etc.) and how they are being mitigated, ensuring MTN can meet its 2026 targets.</w:t>
      </w:r>
    </w:p>
    <w:p w14:paraId="57262D94" w14:textId="2D4112A2" w:rsidR="00C56286" w:rsidRDefault="3A22543A" w:rsidP="03588F3F">
      <w:pPr>
        <w:spacing w:after="0" w:line="300" w:lineRule="auto"/>
      </w:pPr>
      <w:r w:rsidRPr="03588F3F">
        <w:rPr>
          <w:rFonts w:ascii="Segoe UI" w:eastAsia="Segoe UI" w:hAnsi="Segoe UI" w:cs="Segoe UI"/>
          <w:b/>
          <w:bCs/>
          <w:sz w:val="21"/>
          <w:szCs w:val="21"/>
        </w:rPr>
        <w:t>Next Steps:</w:t>
      </w:r>
    </w:p>
    <w:p w14:paraId="16013854" w14:textId="065F8D12" w:rsidR="00C56286" w:rsidRDefault="3A22543A" w:rsidP="03588F3F">
      <w:pPr>
        <w:pStyle w:val="ListParagraph"/>
        <w:numPr>
          <w:ilvl w:val="0"/>
          <w:numId w:val="1"/>
        </w:numPr>
        <w:spacing w:after="0" w:line="300" w:lineRule="auto"/>
        <w:rPr>
          <w:rFonts w:ascii="Segoe UI" w:eastAsia="Segoe UI" w:hAnsi="Segoe UI" w:cs="Segoe UI"/>
          <w:sz w:val="21"/>
          <w:szCs w:val="21"/>
        </w:rPr>
      </w:pPr>
      <w:r w:rsidRPr="03588F3F">
        <w:rPr>
          <w:rFonts w:ascii="Segoe UI" w:eastAsia="Segoe UI" w:hAnsi="Segoe UI" w:cs="Segoe UI"/>
          <w:sz w:val="21"/>
          <w:szCs w:val="21"/>
        </w:rPr>
        <w:t>The next regular Board meeting (Q2 2026) will focus on monitoring Q1 2026 performance and any early indicators for the year. Since 2026 is the last year of Ambition 2025, the Board will pay special attention to any lagging metrics to address them promptly.</w:t>
      </w:r>
    </w:p>
    <w:p w14:paraId="2A0B23B9" w14:textId="12B3A0A1" w:rsidR="00C56286" w:rsidRDefault="3A22543A" w:rsidP="03588F3F">
      <w:pPr>
        <w:pStyle w:val="ListParagraph"/>
        <w:numPr>
          <w:ilvl w:val="0"/>
          <w:numId w:val="1"/>
        </w:numPr>
        <w:spacing w:after="0" w:line="300" w:lineRule="auto"/>
        <w:rPr>
          <w:rFonts w:ascii="Segoe UI" w:eastAsia="Segoe UI" w:hAnsi="Segoe UI" w:cs="Segoe UI"/>
          <w:sz w:val="21"/>
          <w:szCs w:val="21"/>
        </w:rPr>
      </w:pPr>
      <w:r w:rsidRPr="03588F3F">
        <w:rPr>
          <w:rFonts w:ascii="Segoe UI" w:eastAsia="Segoe UI" w:hAnsi="Segoe UI" w:cs="Segoe UI"/>
          <w:sz w:val="21"/>
          <w:szCs w:val="21"/>
        </w:rPr>
        <w:t xml:space="preserve">By mid-2026, the Board will hold a dedicated </w:t>
      </w:r>
      <w:r w:rsidRPr="03588F3F">
        <w:rPr>
          <w:rFonts w:ascii="Segoe UI" w:eastAsia="Segoe UI" w:hAnsi="Segoe UI" w:cs="Segoe UI"/>
          <w:b/>
          <w:bCs/>
          <w:sz w:val="21"/>
          <w:szCs w:val="21"/>
        </w:rPr>
        <w:t>30th Anniversary Strategy Summit</w:t>
      </w:r>
      <w:r w:rsidRPr="03588F3F">
        <w:rPr>
          <w:rFonts w:ascii="Segoe UI" w:eastAsia="Segoe UI" w:hAnsi="Segoe UI" w:cs="Segoe UI"/>
          <w:sz w:val="21"/>
          <w:szCs w:val="21"/>
        </w:rPr>
        <w:t xml:space="preserve"> – both to celebrate MTN’s three decades of growth and to finalize the future strategy. This event will include a review of how MTN has fulfilled its mission of enabling a modern connected life in its first 30 years, and how it will elevate that mission going forward.</w:t>
      </w:r>
    </w:p>
    <w:p w14:paraId="08E22639" w14:textId="3E58ADC4" w:rsidR="00C56286" w:rsidRDefault="3A22543A" w:rsidP="03588F3F">
      <w:pPr>
        <w:pStyle w:val="ListParagraph"/>
        <w:numPr>
          <w:ilvl w:val="0"/>
          <w:numId w:val="1"/>
        </w:numPr>
        <w:spacing w:after="0" w:line="300" w:lineRule="auto"/>
        <w:rPr>
          <w:rFonts w:ascii="Segoe UI" w:eastAsia="Segoe UI" w:hAnsi="Segoe UI" w:cs="Segoe UI"/>
          <w:sz w:val="21"/>
          <w:szCs w:val="21"/>
        </w:rPr>
      </w:pPr>
      <w:r w:rsidRPr="03588F3F">
        <w:rPr>
          <w:rFonts w:ascii="Segoe UI" w:eastAsia="Segoe UI" w:hAnsi="Segoe UI" w:cs="Segoe UI"/>
          <w:sz w:val="21"/>
          <w:szCs w:val="21"/>
        </w:rPr>
        <w:t xml:space="preserve">The Board also noted the importance of maintaining momentum in both traditional telecom services and new ventures. As one director commented, </w:t>
      </w:r>
      <w:r w:rsidRPr="03588F3F">
        <w:rPr>
          <w:rFonts w:ascii="Segoe UI" w:eastAsia="Segoe UI" w:hAnsi="Segoe UI" w:cs="Segoe UI"/>
          <w:i/>
          <w:iCs/>
          <w:sz w:val="21"/>
          <w:szCs w:val="21"/>
        </w:rPr>
        <w:t>“We must run our existing networks efficiently while simultaneously building for the next wave of growth. Our 2025 results show we can do both – let’s keep that balance as we move ahead.”</w:t>
      </w:r>
      <w:r w:rsidRPr="03588F3F">
        <w:rPr>
          <w:rFonts w:ascii="Segoe UI" w:eastAsia="Segoe UI" w:hAnsi="Segoe UI" w:cs="Segoe UI"/>
          <w:sz w:val="21"/>
          <w:szCs w:val="21"/>
        </w:rPr>
        <w:t xml:space="preserve"> The meeting concluded on a congratulatory note, recognizing management and the entire MTN team for the exceptional performance in 2025 and their diligence in executing the company’s strategy.</w:t>
      </w:r>
    </w:p>
    <w:p w14:paraId="2C078E63" w14:textId="738C3A1A" w:rsidR="00C56286" w:rsidRDefault="00C56286"/>
    <w:sectPr w:rsidR="00C56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5128"/>
    <w:multiLevelType w:val="hybridMultilevel"/>
    <w:tmpl w:val="FFFFFFFF"/>
    <w:lvl w:ilvl="0" w:tplc="C3EAA17A">
      <w:start w:val="1"/>
      <w:numFmt w:val="bullet"/>
      <w:lvlText w:val=""/>
      <w:lvlJc w:val="left"/>
      <w:pPr>
        <w:ind w:left="720" w:hanging="360"/>
      </w:pPr>
      <w:rPr>
        <w:rFonts w:ascii="Symbol" w:hAnsi="Symbol" w:hint="default"/>
      </w:rPr>
    </w:lvl>
    <w:lvl w:ilvl="1" w:tplc="33327490">
      <w:start w:val="1"/>
      <w:numFmt w:val="bullet"/>
      <w:lvlText w:val="o"/>
      <w:lvlJc w:val="left"/>
      <w:pPr>
        <w:ind w:left="1440" w:hanging="360"/>
      </w:pPr>
      <w:rPr>
        <w:rFonts w:ascii="Courier New" w:hAnsi="Courier New" w:hint="default"/>
      </w:rPr>
    </w:lvl>
    <w:lvl w:ilvl="2" w:tplc="405EDE4C">
      <w:start w:val="1"/>
      <w:numFmt w:val="bullet"/>
      <w:lvlText w:val=""/>
      <w:lvlJc w:val="left"/>
      <w:pPr>
        <w:ind w:left="2160" w:hanging="360"/>
      </w:pPr>
      <w:rPr>
        <w:rFonts w:ascii="Wingdings" w:hAnsi="Wingdings" w:hint="default"/>
      </w:rPr>
    </w:lvl>
    <w:lvl w:ilvl="3" w:tplc="AF0AA538">
      <w:start w:val="1"/>
      <w:numFmt w:val="bullet"/>
      <w:lvlText w:val=""/>
      <w:lvlJc w:val="left"/>
      <w:pPr>
        <w:ind w:left="2880" w:hanging="360"/>
      </w:pPr>
      <w:rPr>
        <w:rFonts w:ascii="Symbol" w:hAnsi="Symbol" w:hint="default"/>
      </w:rPr>
    </w:lvl>
    <w:lvl w:ilvl="4" w:tplc="E96430F2">
      <w:start w:val="1"/>
      <w:numFmt w:val="bullet"/>
      <w:lvlText w:val="o"/>
      <w:lvlJc w:val="left"/>
      <w:pPr>
        <w:ind w:left="3600" w:hanging="360"/>
      </w:pPr>
      <w:rPr>
        <w:rFonts w:ascii="Courier New" w:hAnsi="Courier New" w:hint="default"/>
      </w:rPr>
    </w:lvl>
    <w:lvl w:ilvl="5" w:tplc="40BCEBE2">
      <w:start w:val="1"/>
      <w:numFmt w:val="bullet"/>
      <w:lvlText w:val=""/>
      <w:lvlJc w:val="left"/>
      <w:pPr>
        <w:ind w:left="4320" w:hanging="360"/>
      </w:pPr>
      <w:rPr>
        <w:rFonts w:ascii="Wingdings" w:hAnsi="Wingdings" w:hint="default"/>
      </w:rPr>
    </w:lvl>
    <w:lvl w:ilvl="6" w:tplc="F2AC78FC">
      <w:start w:val="1"/>
      <w:numFmt w:val="bullet"/>
      <w:lvlText w:val=""/>
      <w:lvlJc w:val="left"/>
      <w:pPr>
        <w:ind w:left="5040" w:hanging="360"/>
      </w:pPr>
      <w:rPr>
        <w:rFonts w:ascii="Symbol" w:hAnsi="Symbol" w:hint="default"/>
      </w:rPr>
    </w:lvl>
    <w:lvl w:ilvl="7" w:tplc="DCD8CCEC">
      <w:start w:val="1"/>
      <w:numFmt w:val="bullet"/>
      <w:lvlText w:val="o"/>
      <w:lvlJc w:val="left"/>
      <w:pPr>
        <w:ind w:left="5760" w:hanging="360"/>
      </w:pPr>
      <w:rPr>
        <w:rFonts w:ascii="Courier New" w:hAnsi="Courier New" w:hint="default"/>
      </w:rPr>
    </w:lvl>
    <w:lvl w:ilvl="8" w:tplc="0B263614">
      <w:start w:val="1"/>
      <w:numFmt w:val="bullet"/>
      <w:lvlText w:val=""/>
      <w:lvlJc w:val="left"/>
      <w:pPr>
        <w:ind w:left="6480" w:hanging="360"/>
      </w:pPr>
      <w:rPr>
        <w:rFonts w:ascii="Wingdings" w:hAnsi="Wingdings" w:hint="default"/>
      </w:rPr>
    </w:lvl>
  </w:abstractNum>
  <w:abstractNum w:abstractNumId="1" w15:restartNumberingAfterBreak="0">
    <w:nsid w:val="215E41A7"/>
    <w:multiLevelType w:val="hybridMultilevel"/>
    <w:tmpl w:val="FFFFFFFF"/>
    <w:lvl w:ilvl="0" w:tplc="CD76D44E">
      <w:start w:val="1"/>
      <w:numFmt w:val="bullet"/>
      <w:lvlText w:val=""/>
      <w:lvlJc w:val="left"/>
      <w:pPr>
        <w:ind w:left="720" w:hanging="360"/>
      </w:pPr>
      <w:rPr>
        <w:rFonts w:ascii="Symbol" w:hAnsi="Symbol" w:hint="default"/>
      </w:rPr>
    </w:lvl>
    <w:lvl w:ilvl="1" w:tplc="6B2E4B90">
      <w:start w:val="1"/>
      <w:numFmt w:val="bullet"/>
      <w:lvlText w:val="o"/>
      <w:lvlJc w:val="left"/>
      <w:pPr>
        <w:ind w:left="1440" w:hanging="360"/>
      </w:pPr>
      <w:rPr>
        <w:rFonts w:ascii="Courier New" w:hAnsi="Courier New" w:hint="default"/>
      </w:rPr>
    </w:lvl>
    <w:lvl w:ilvl="2" w:tplc="40CE6C16">
      <w:start w:val="1"/>
      <w:numFmt w:val="bullet"/>
      <w:lvlText w:val=""/>
      <w:lvlJc w:val="left"/>
      <w:pPr>
        <w:ind w:left="2160" w:hanging="360"/>
      </w:pPr>
      <w:rPr>
        <w:rFonts w:ascii="Wingdings" w:hAnsi="Wingdings" w:hint="default"/>
      </w:rPr>
    </w:lvl>
    <w:lvl w:ilvl="3" w:tplc="171AC238">
      <w:start w:val="1"/>
      <w:numFmt w:val="bullet"/>
      <w:lvlText w:val=""/>
      <w:lvlJc w:val="left"/>
      <w:pPr>
        <w:ind w:left="2880" w:hanging="360"/>
      </w:pPr>
      <w:rPr>
        <w:rFonts w:ascii="Symbol" w:hAnsi="Symbol" w:hint="default"/>
      </w:rPr>
    </w:lvl>
    <w:lvl w:ilvl="4" w:tplc="4F968D28">
      <w:start w:val="1"/>
      <w:numFmt w:val="bullet"/>
      <w:lvlText w:val="o"/>
      <w:lvlJc w:val="left"/>
      <w:pPr>
        <w:ind w:left="3600" w:hanging="360"/>
      </w:pPr>
      <w:rPr>
        <w:rFonts w:ascii="Courier New" w:hAnsi="Courier New" w:hint="default"/>
      </w:rPr>
    </w:lvl>
    <w:lvl w:ilvl="5" w:tplc="A8926B3C">
      <w:start w:val="1"/>
      <w:numFmt w:val="bullet"/>
      <w:lvlText w:val=""/>
      <w:lvlJc w:val="left"/>
      <w:pPr>
        <w:ind w:left="4320" w:hanging="360"/>
      </w:pPr>
      <w:rPr>
        <w:rFonts w:ascii="Wingdings" w:hAnsi="Wingdings" w:hint="default"/>
      </w:rPr>
    </w:lvl>
    <w:lvl w:ilvl="6" w:tplc="424268B2">
      <w:start w:val="1"/>
      <w:numFmt w:val="bullet"/>
      <w:lvlText w:val=""/>
      <w:lvlJc w:val="left"/>
      <w:pPr>
        <w:ind w:left="5040" w:hanging="360"/>
      </w:pPr>
      <w:rPr>
        <w:rFonts w:ascii="Symbol" w:hAnsi="Symbol" w:hint="default"/>
      </w:rPr>
    </w:lvl>
    <w:lvl w:ilvl="7" w:tplc="FF32ED7C">
      <w:start w:val="1"/>
      <w:numFmt w:val="bullet"/>
      <w:lvlText w:val="o"/>
      <w:lvlJc w:val="left"/>
      <w:pPr>
        <w:ind w:left="5760" w:hanging="360"/>
      </w:pPr>
      <w:rPr>
        <w:rFonts w:ascii="Courier New" w:hAnsi="Courier New" w:hint="default"/>
      </w:rPr>
    </w:lvl>
    <w:lvl w:ilvl="8" w:tplc="594E7804">
      <w:start w:val="1"/>
      <w:numFmt w:val="bullet"/>
      <w:lvlText w:val=""/>
      <w:lvlJc w:val="left"/>
      <w:pPr>
        <w:ind w:left="6480" w:hanging="360"/>
      </w:pPr>
      <w:rPr>
        <w:rFonts w:ascii="Wingdings" w:hAnsi="Wingdings" w:hint="default"/>
      </w:rPr>
    </w:lvl>
  </w:abstractNum>
  <w:abstractNum w:abstractNumId="2" w15:restartNumberingAfterBreak="0">
    <w:nsid w:val="42E6E095"/>
    <w:multiLevelType w:val="hybridMultilevel"/>
    <w:tmpl w:val="FFFFFFFF"/>
    <w:lvl w:ilvl="0" w:tplc="9E72E978">
      <w:start w:val="1"/>
      <w:numFmt w:val="bullet"/>
      <w:lvlText w:val=""/>
      <w:lvlJc w:val="left"/>
      <w:pPr>
        <w:ind w:left="720" w:hanging="360"/>
      </w:pPr>
      <w:rPr>
        <w:rFonts w:ascii="Symbol" w:hAnsi="Symbol" w:hint="default"/>
      </w:rPr>
    </w:lvl>
    <w:lvl w:ilvl="1" w:tplc="65724ED6">
      <w:start w:val="1"/>
      <w:numFmt w:val="bullet"/>
      <w:lvlText w:val="o"/>
      <w:lvlJc w:val="left"/>
      <w:pPr>
        <w:ind w:left="1440" w:hanging="360"/>
      </w:pPr>
      <w:rPr>
        <w:rFonts w:ascii="Courier New" w:hAnsi="Courier New" w:hint="default"/>
      </w:rPr>
    </w:lvl>
    <w:lvl w:ilvl="2" w:tplc="FDB249E0">
      <w:start w:val="1"/>
      <w:numFmt w:val="bullet"/>
      <w:lvlText w:val=""/>
      <w:lvlJc w:val="left"/>
      <w:pPr>
        <w:ind w:left="2160" w:hanging="360"/>
      </w:pPr>
      <w:rPr>
        <w:rFonts w:ascii="Wingdings" w:hAnsi="Wingdings" w:hint="default"/>
      </w:rPr>
    </w:lvl>
    <w:lvl w:ilvl="3" w:tplc="A5CC1FD0">
      <w:start w:val="1"/>
      <w:numFmt w:val="bullet"/>
      <w:lvlText w:val=""/>
      <w:lvlJc w:val="left"/>
      <w:pPr>
        <w:ind w:left="2880" w:hanging="360"/>
      </w:pPr>
      <w:rPr>
        <w:rFonts w:ascii="Symbol" w:hAnsi="Symbol" w:hint="default"/>
      </w:rPr>
    </w:lvl>
    <w:lvl w:ilvl="4" w:tplc="B7DC20AA">
      <w:start w:val="1"/>
      <w:numFmt w:val="bullet"/>
      <w:lvlText w:val="o"/>
      <w:lvlJc w:val="left"/>
      <w:pPr>
        <w:ind w:left="3600" w:hanging="360"/>
      </w:pPr>
      <w:rPr>
        <w:rFonts w:ascii="Courier New" w:hAnsi="Courier New" w:hint="default"/>
      </w:rPr>
    </w:lvl>
    <w:lvl w:ilvl="5" w:tplc="5B706108">
      <w:start w:val="1"/>
      <w:numFmt w:val="bullet"/>
      <w:lvlText w:val=""/>
      <w:lvlJc w:val="left"/>
      <w:pPr>
        <w:ind w:left="4320" w:hanging="360"/>
      </w:pPr>
      <w:rPr>
        <w:rFonts w:ascii="Wingdings" w:hAnsi="Wingdings" w:hint="default"/>
      </w:rPr>
    </w:lvl>
    <w:lvl w:ilvl="6" w:tplc="D15C6216">
      <w:start w:val="1"/>
      <w:numFmt w:val="bullet"/>
      <w:lvlText w:val=""/>
      <w:lvlJc w:val="left"/>
      <w:pPr>
        <w:ind w:left="5040" w:hanging="360"/>
      </w:pPr>
      <w:rPr>
        <w:rFonts w:ascii="Symbol" w:hAnsi="Symbol" w:hint="default"/>
      </w:rPr>
    </w:lvl>
    <w:lvl w:ilvl="7" w:tplc="62AE4C98">
      <w:start w:val="1"/>
      <w:numFmt w:val="bullet"/>
      <w:lvlText w:val="o"/>
      <w:lvlJc w:val="left"/>
      <w:pPr>
        <w:ind w:left="5760" w:hanging="360"/>
      </w:pPr>
      <w:rPr>
        <w:rFonts w:ascii="Courier New" w:hAnsi="Courier New" w:hint="default"/>
      </w:rPr>
    </w:lvl>
    <w:lvl w:ilvl="8" w:tplc="EFC26AA2">
      <w:start w:val="1"/>
      <w:numFmt w:val="bullet"/>
      <w:lvlText w:val=""/>
      <w:lvlJc w:val="left"/>
      <w:pPr>
        <w:ind w:left="6480" w:hanging="360"/>
      </w:pPr>
      <w:rPr>
        <w:rFonts w:ascii="Wingdings" w:hAnsi="Wingdings" w:hint="default"/>
      </w:rPr>
    </w:lvl>
  </w:abstractNum>
  <w:abstractNum w:abstractNumId="3" w15:restartNumberingAfterBreak="0">
    <w:nsid w:val="4D5EECC3"/>
    <w:multiLevelType w:val="hybridMultilevel"/>
    <w:tmpl w:val="FFFFFFFF"/>
    <w:lvl w:ilvl="0" w:tplc="F66876A2">
      <w:start w:val="1"/>
      <w:numFmt w:val="bullet"/>
      <w:lvlText w:val=""/>
      <w:lvlJc w:val="left"/>
      <w:pPr>
        <w:ind w:left="720" w:hanging="360"/>
      </w:pPr>
      <w:rPr>
        <w:rFonts w:ascii="Symbol" w:hAnsi="Symbol" w:hint="default"/>
      </w:rPr>
    </w:lvl>
    <w:lvl w:ilvl="1" w:tplc="8768283C">
      <w:start w:val="1"/>
      <w:numFmt w:val="bullet"/>
      <w:lvlText w:val="o"/>
      <w:lvlJc w:val="left"/>
      <w:pPr>
        <w:ind w:left="1440" w:hanging="360"/>
      </w:pPr>
      <w:rPr>
        <w:rFonts w:ascii="Courier New" w:hAnsi="Courier New" w:hint="default"/>
      </w:rPr>
    </w:lvl>
    <w:lvl w:ilvl="2" w:tplc="D83C107C">
      <w:start w:val="1"/>
      <w:numFmt w:val="bullet"/>
      <w:lvlText w:val=""/>
      <w:lvlJc w:val="left"/>
      <w:pPr>
        <w:ind w:left="2160" w:hanging="360"/>
      </w:pPr>
      <w:rPr>
        <w:rFonts w:ascii="Wingdings" w:hAnsi="Wingdings" w:hint="default"/>
      </w:rPr>
    </w:lvl>
    <w:lvl w:ilvl="3" w:tplc="BAFC0502">
      <w:start w:val="1"/>
      <w:numFmt w:val="bullet"/>
      <w:lvlText w:val=""/>
      <w:lvlJc w:val="left"/>
      <w:pPr>
        <w:ind w:left="2880" w:hanging="360"/>
      </w:pPr>
      <w:rPr>
        <w:rFonts w:ascii="Symbol" w:hAnsi="Symbol" w:hint="default"/>
      </w:rPr>
    </w:lvl>
    <w:lvl w:ilvl="4" w:tplc="767E36D6">
      <w:start w:val="1"/>
      <w:numFmt w:val="bullet"/>
      <w:lvlText w:val="o"/>
      <w:lvlJc w:val="left"/>
      <w:pPr>
        <w:ind w:left="3600" w:hanging="360"/>
      </w:pPr>
      <w:rPr>
        <w:rFonts w:ascii="Courier New" w:hAnsi="Courier New" w:hint="default"/>
      </w:rPr>
    </w:lvl>
    <w:lvl w:ilvl="5" w:tplc="188032A0">
      <w:start w:val="1"/>
      <w:numFmt w:val="bullet"/>
      <w:lvlText w:val=""/>
      <w:lvlJc w:val="left"/>
      <w:pPr>
        <w:ind w:left="4320" w:hanging="360"/>
      </w:pPr>
      <w:rPr>
        <w:rFonts w:ascii="Wingdings" w:hAnsi="Wingdings" w:hint="default"/>
      </w:rPr>
    </w:lvl>
    <w:lvl w:ilvl="6" w:tplc="9E686B4A">
      <w:start w:val="1"/>
      <w:numFmt w:val="bullet"/>
      <w:lvlText w:val=""/>
      <w:lvlJc w:val="left"/>
      <w:pPr>
        <w:ind w:left="5040" w:hanging="360"/>
      </w:pPr>
      <w:rPr>
        <w:rFonts w:ascii="Symbol" w:hAnsi="Symbol" w:hint="default"/>
      </w:rPr>
    </w:lvl>
    <w:lvl w:ilvl="7" w:tplc="4D60F1B8">
      <w:start w:val="1"/>
      <w:numFmt w:val="bullet"/>
      <w:lvlText w:val="o"/>
      <w:lvlJc w:val="left"/>
      <w:pPr>
        <w:ind w:left="5760" w:hanging="360"/>
      </w:pPr>
      <w:rPr>
        <w:rFonts w:ascii="Courier New" w:hAnsi="Courier New" w:hint="default"/>
      </w:rPr>
    </w:lvl>
    <w:lvl w:ilvl="8" w:tplc="B07881E2">
      <w:start w:val="1"/>
      <w:numFmt w:val="bullet"/>
      <w:lvlText w:val=""/>
      <w:lvlJc w:val="left"/>
      <w:pPr>
        <w:ind w:left="6480" w:hanging="360"/>
      </w:pPr>
      <w:rPr>
        <w:rFonts w:ascii="Wingdings" w:hAnsi="Wingdings" w:hint="default"/>
      </w:rPr>
    </w:lvl>
  </w:abstractNum>
  <w:abstractNum w:abstractNumId="4" w15:restartNumberingAfterBreak="0">
    <w:nsid w:val="7A7C93F3"/>
    <w:multiLevelType w:val="hybridMultilevel"/>
    <w:tmpl w:val="FFFFFFFF"/>
    <w:lvl w:ilvl="0" w:tplc="DFF8C572">
      <w:start w:val="1"/>
      <w:numFmt w:val="bullet"/>
      <w:lvlText w:val=""/>
      <w:lvlJc w:val="left"/>
      <w:pPr>
        <w:ind w:left="720" w:hanging="360"/>
      </w:pPr>
      <w:rPr>
        <w:rFonts w:ascii="Symbol" w:hAnsi="Symbol" w:hint="default"/>
      </w:rPr>
    </w:lvl>
    <w:lvl w:ilvl="1" w:tplc="59B4A578">
      <w:start w:val="1"/>
      <w:numFmt w:val="bullet"/>
      <w:lvlText w:val="o"/>
      <w:lvlJc w:val="left"/>
      <w:pPr>
        <w:ind w:left="1440" w:hanging="360"/>
      </w:pPr>
      <w:rPr>
        <w:rFonts w:ascii="Courier New" w:hAnsi="Courier New" w:hint="default"/>
      </w:rPr>
    </w:lvl>
    <w:lvl w:ilvl="2" w:tplc="5DEC94C8">
      <w:start w:val="1"/>
      <w:numFmt w:val="bullet"/>
      <w:lvlText w:val=""/>
      <w:lvlJc w:val="left"/>
      <w:pPr>
        <w:ind w:left="2160" w:hanging="360"/>
      </w:pPr>
      <w:rPr>
        <w:rFonts w:ascii="Wingdings" w:hAnsi="Wingdings" w:hint="default"/>
      </w:rPr>
    </w:lvl>
    <w:lvl w:ilvl="3" w:tplc="1F8C90F2">
      <w:start w:val="1"/>
      <w:numFmt w:val="bullet"/>
      <w:lvlText w:val=""/>
      <w:lvlJc w:val="left"/>
      <w:pPr>
        <w:ind w:left="2880" w:hanging="360"/>
      </w:pPr>
      <w:rPr>
        <w:rFonts w:ascii="Symbol" w:hAnsi="Symbol" w:hint="default"/>
      </w:rPr>
    </w:lvl>
    <w:lvl w:ilvl="4" w:tplc="F67A52F2">
      <w:start w:val="1"/>
      <w:numFmt w:val="bullet"/>
      <w:lvlText w:val="o"/>
      <w:lvlJc w:val="left"/>
      <w:pPr>
        <w:ind w:left="3600" w:hanging="360"/>
      </w:pPr>
      <w:rPr>
        <w:rFonts w:ascii="Courier New" w:hAnsi="Courier New" w:hint="default"/>
      </w:rPr>
    </w:lvl>
    <w:lvl w:ilvl="5" w:tplc="81F06BC0">
      <w:start w:val="1"/>
      <w:numFmt w:val="bullet"/>
      <w:lvlText w:val=""/>
      <w:lvlJc w:val="left"/>
      <w:pPr>
        <w:ind w:left="4320" w:hanging="360"/>
      </w:pPr>
      <w:rPr>
        <w:rFonts w:ascii="Wingdings" w:hAnsi="Wingdings" w:hint="default"/>
      </w:rPr>
    </w:lvl>
    <w:lvl w:ilvl="6" w:tplc="357E781E">
      <w:start w:val="1"/>
      <w:numFmt w:val="bullet"/>
      <w:lvlText w:val=""/>
      <w:lvlJc w:val="left"/>
      <w:pPr>
        <w:ind w:left="5040" w:hanging="360"/>
      </w:pPr>
      <w:rPr>
        <w:rFonts w:ascii="Symbol" w:hAnsi="Symbol" w:hint="default"/>
      </w:rPr>
    </w:lvl>
    <w:lvl w:ilvl="7" w:tplc="7FD0B1E2">
      <w:start w:val="1"/>
      <w:numFmt w:val="bullet"/>
      <w:lvlText w:val="o"/>
      <w:lvlJc w:val="left"/>
      <w:pPr>
        <w:ind w:left="5760" w:hanging="360"/>
      </w:pPr>
      <w:rPr>
        <w:rFonts w:ascii="Courier New" w:hAnsi="Courier New" w:hint="default"/>
      </w:rPr>
    </w:lvl>
    <w:lvl w:ilvl="8" w:tplc="BEF2F84E">
      <w:start w:val="1"/>
      <w:numFmt w:val="bullet"/>
      <w:lvlText w:val=""/>
      <w:lvlJc w:val="left"/>
      <w:pPr>
        <w:ind w:left="6480" w:hanging="360"/>
      </w:pPr>
      <w:rPr>
        <w:rFonts w:ascii="Wingdings" w:hAnsi="Wingdings" w:hint="default"/>
      </w:rPr>
    </w:lvl>
  </w:abstractNum>
  <w:num w:numId="1" w16cid:durableId="1428770523">
    <w:abstractNumId w:val="0"/>
  </w:num>
  <w:num w:numId="2" w16cid:durableId="1998920897">
    <w:abstractNumId w:val="3"/>
  </w:num>
  <w:num w:numId="3" w16cid:durableId="1113861415">
    <w:abstractNumId w:val="1"/>
  </w:num>
  <w:num w:numId="4" w16cid:durableId="1423986077">
    <w:abstractNumId w:val="4"/>
  </w:num>
  <w:num w:numId="5" w16cid:durableId="2069768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C07C02"/>
    <w:rsid w:val="00203419"/>
    <w:rsid w:val="00C56286"/>
    <w:rsid w:val="03588F3F"/>
    <w:rsid w:val="3A22543A"/>
    <w:rsid w:val="52C07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7C02"/>
  <w15:chartTrackingRefBased/>
  <w15:docId w15:val="{D3A7E005-2E06-4E7E-930C-A8695061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TN_Group" TargetMode="External"/><Relationship Id="rId13" Type="http://schemas.openxmlformats.org/officeDocument/2006/relationships/hyperlink" Target="https://www.mtn.com/mtn-celebrates-30-years-of-connecting-people-changing-lives-empowering-afric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tn.com/wp-content/uploads/2025/08/MTN-Group-H1-25-Results-Presentation-vF-1.pdf" TargetMode="External"/><Relationship Id="rId17" Type="http://schemas.openxmlformats.org/officeDocument/2006/relationships/hyperlink" Target="https://www.linkedin.com/posts/techsomaafrica_mtn-telecom-fintech-activity-7371146414237745152-5Cr6" TargetMode="External"/><Relationship Id="rId2" Type="http://schemas.openxmlformats.org/officeDocument/2006/relationships/customXml" Target="../customXml/item2.xml"/><Relationship Id="rId16" Type="http://schemas.openxmlformats.org/officeDocument/2006/relationships/hyperlink" Target="https://www.mtn.com/wp-content/uploads/2025/08/MTN-Group-H1-25-Results-Presentation-vF-1.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tn-investor.com/reporting/annuals-2022/index.php" TargetMode="External"/><Relationship Id="rId5" Type="http://schemas.openxmlformats.org/officeDocument/2006/relationships/styles" Target="styles.xml"/><Relationship Id="rId15" Type="http://schemas.openxmlformats.org/officeDocument/2006/relationships/hyperlink" Target="https://www.mtn.com/mtn-celebrates-30-years-of-connecting-people-changing-lives-empowering-africa/" TargetMode="External"/><Relationship Id="rId10" Type="http://schemas.openxmlformats.org/officeDocument/2006/relationships/hyperlink" Target="https://www.mtn.com/wp-content/uploads/2025/08/MTN-Group-H1-25-Results-Presentation-vF-1.pdf"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mtn.com/mtn-celebrates-30-years-of-connecting-people-changing-lives-empowering-africa/" TargetMode="External"/><Relationship Id="rId14" Type="http://schemas.openxmlformats.org/officeDocument/2006/relationships/hyperlink" Target="https://www.linkedin.com/posts/techsomaafrica_mtn-telecom-fintech-activity-7371146414237745152-5Cr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3BB769-4B9D-408B-9915-E3F00BDC6C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74EEBA-A7E9-49D7-9559-7AB89D6210A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9DC486D5-CB8B-4AC0-9438-6235A3E83B01}">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1638</Words>
  <Characters>9341</Characters>
  <Application>Microsoft Office Word</Application>
  <DocSecurity>0</DocSecurity>
  <Lines>77</Lines>
  <Paragraphs>21</Paragraphs>
  <ScaleCrop>false</ScaleCrop>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Shafee Khan</dc:creator>
  <cp:keywords/>
  <dc:description/>
  <cp:lastModifiedBy>Shafee Khan</cp:lastModifiedBy>
  <cp:revision>1</cp:revision>
  <dcterms:created xsi:type="dcterms:W3CDTF">2026-03-10T09:40:00Z</dcterms:created>
  <dcterms:modified xsi:type="dcterms:W3CDTF">2026-03-10T09:40:00Z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