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01E" w:rsidP="748C21C4" w:rsidRDefault="00C4701E" w14:paraId="518DA768" w14:textId="523847F9">
      <w:pPr>
        <w:pStyle w:val="Heading2"/>
        <w:spacing w:before="261" w:beforeAutospacing="off" w:after="261" w:afterAutospacing="off" w:line="300" w:lineRule="auto"/>
      </w:pPr>
      <w:r w:rsidRPr="748C21C4" w:rsidR="1BBAC8D3">
        <w:rPr>
          <w:rFonts w:ascii="Segoe UI" w:hAnsi="Segoe UI" w:eastAsia="Segoe UI" w:cs="Segoe UI"/>
          <w:b w:val="1"/>
          <w:bCs w:val="1"/>
          <w:i w:val="0"/>
          <w:iCs w:val="0"/>
          <w:noProof w:val="0"/>
          <w:sz w:val="31"/>
          <w:szCs w:val="31"/>
          <w:lang w:val="en-US"/>
        </w:rPr>
        <w:t>Board Meeting – 15 March 2006</w:t>
      </w:r>
    </w:p>
    <w:p w:rsidR="00C4701E" w:rsidP="748C21C4" w:rsidRDefault="00C4701E" w14:paraId="4EFB603D" w14:textId="5EBA52F9">
      <w:pPr>
        <w:spacing w:before="0" w:beforeAutospacing="off" w:after="0" w:afterAutospacing="off" w:line="300" w:lineRule="auto"/>
      </w:pPr>
      <w:r w:rsidRPr="748C21C4" w:rsidR="1BBAC8D3">
        <w:rPr>
          <w:rFonts w:ascii="Segoe UI" w:hAnsi="Segoe UI" w:eastAsia="Segoe UI" w:cs="Segoe UI"/>
          <w:b w:val="1"/>
          <w:bCs w:val="1"/>
          <w:i w:val="0"/>
          <w:iCs w:val="0"/>
          <w:noProof w:val="0"/>
          <w:sz w:val="21"/>
          <w:szCs w:val="21"/>
          <w:lang w:val="en-US"/>
        </w:rPr>
        <w:t>Topic:</w:t>
      </w:r>
      <w:r w:rsidRPr="748C21C4" w:rsidR="1BBAC8D3">
        <w:rPr>
          <w:rFonts w:ascii="Segoe UI" w:hAnsi="Segoe UI" w:eastAsia="Segoe UI" w:cs="Segoe UI"/>
          <w:b w:val="0"/>
          <w:bCs w:val="0"/>
          <w:i w:val="0"/>
          <w:iCs w:val="0"/>
          <w:noProof w:val="0"/>
          <w:sz w:val="21"/>
          <w:szCs w:val="21"/>
          <w:lang w:val="en-US"/>
        </w:rPr>
        <w:t xml:space="preserve"> </w:t>
      </w:r>
      <w:r w:rsidRPr="748C21C4" w:rsidR="1BBAC8D3">
        <w:rPr>
          <w:rFonts w:ascii="Segoe UI" w:hAnsi="Segoe UI" w:eastAsia="Segoe UI" w:cs="Segoe UI"/>
          <w:b w:val="1"/>
          <w:bCs w:val="1"/>
          <w:i w:val="0"/>
          <w:iCs w:val="0"/>
          <w:noProof w:val="0"/>
          <w:sz w:val="21"/>
          <w:szCs w:val="21"/>
          <w:lang w:val="en-US"/>
        </w:rPr>
        <w:t>Pan-African Network Expansion Strategy</w:t>
      </w:r>
      <w:r w:rsidRPr="748C21C4" w:rsidR="1BBAC8D3">
        <w:rPr>
          <w:rFonts w:ascii="Segoe UI" w:hAnsi="Segoe UI" w:eastAsia="Segoe UI" w:cs="Segoe UI"/>
          <w:b w:val="0"/>
          <w:bCs w:val="0"/>
          <w:i w:val="0"/>
          <w:iCs w:val="0"/>
          <w:noProof w:val="0"/>
          <w:sz w:val="21"/>
          <w:szCs w:val="21"/>
          <w:lang w:val="en-US"/>
        </w:rPr>
        <w:t xml:space="preserve"> (Acquisition of Investcom)</w:t>
      </w:r>
      <w:r>
        <w:br/>
      </w:r>
      <w:r w:rsidRPr="748C21C4" w:rsidR="1BBAC8D3">
        <w:rPr>
          <w:rFonts w:ascii="Segoe UI" w:hAnsi="Segoe UI" w:eastAsia="Segoe UI" w:cs="Segoe UI"/>
          <w:b w:val="0"/>
          <w:bCs w:val="0"/>
          <w:i w:val="0"/>
          <w:iCs w:val="0"/>
          <w:noProof w:val="0"/>
          <w:sz w:val="21"/>
          <w:szCs w:val="21"/>
          <w:lang w:val="en-US"/>
        </w:rPr>
        <w:t xml:space="preserve"> </w:t>
      </w:r>
      <w:r w:rsidRPr="748C21C4" w:rsidR="1BBAC8D3">
        <w:rPr>
          <w:rFonts w:ascii="Segoe UI" w:hAnsi="Segoe UI" w:eastAsia="Segoe UI" w:cs="Segoe UI"/>
          <w:b w:val="1"/>
          <w:bCs w:val="1"/>
          <w:i w:val="0"/>
          <w:iCs w:val="0"/>
          <w:noProof w:val="0"/>
          <w:sz w:val="21"/>
          <w:szCs w:val="21"/>
          <w:lang w:val="en-US"/>
        </w:rPr>
        <w:t>Date:</w:t>
      </w:r>
      <w:r w:rsidRPr="748C21C4" w:rsidR="1BBAC8D3">
        <w:rPr>
          <w:rFonts w:ascii="Segoe UI" w:hAnsi="Segoe UI" w:eastAsia="Segoe UI" w:cs="Segoe UI"/>
          <w:b w:val="0"/>
          <w:bCs w:val="0"/>
          <w:i w:val="0"/>
          <w:iCs w:val="0"/>
          <w:noProof w:val="0"/>
          <w:sz w:val="21"/>
          <w:szCs w:val="21"/>
          <w:lang w:val="en-US"/>
        </w:rPr>
        <w:t xml:space="preserve"> 15 March 2006</w:t>
      </w:r>
      <w:r>
        <w:br/>
      </w:r>
      <w:r w:rsidRPr="748C21C4" w:rsidR="1BBAC8D3">
        <w:rPr>
          <w:rFonts w:ascii="Segoe UI" w:hAnsi="Segoe UI" w:eastAsia="Segoe UI" w:cs="Segoe UI"/>
          <w:b w:val="0"/>
          <w:bCs w:val="0"/>
          <w:i w:val="0"/>
          <w:iCs w:val="0"/>
          <w:noProof w:val="0"/>
          <w:sz w:val="21"/>
          <w:szCs w:val="21"/>
          <w:lang w:val="en-US"/>
        </w:rPr>
        <w:t xml:space="preserve"> </w:t>
      </w:r>
      <w:r w:rsidRPr="748C21C4" w:rsidR="1BBAC8D3">
        <w:rPr>
          <w:rFonts w:ascii="Segoe UI" w:hAnsi="Segoe UI" w:eastAsia="Segoe UI" w:cs="Segoe UI"/>
          <w:b w:val="1"/>
          <w:bCs w:val="1"/>
          <w:i w:val="0"/>
          <w:iCs w:val="0"/>
          <w:noProof w:val="0"/>
          <w:sz w:val="21"/>
          <w:szCs w:val="21"/>
          <w:lang w:val="en-US"/>
        </w:rPr>
        <w:t>Attendees:</w:t>
      </w:r>
      <w:r w:rsidRPr="748C21C4" w:rsidR="1BBAC8D3">
        <w:rPr>
          <w:rFonts w:ascii="Segoe UI" w:hAnsi="Segoe UI" w:eastAsia="Segoe UI" w:cs="Segoe UI"/>
          <w:b w:val="0"/>
          <w:bCs w:val="0"/>
          <w:i w:val="0"/>
          <w:iCs w:val="0"/>
          <w:noProof w:val="0"/>
          <w:sz w:val="21"/>
          <w:szCs w:val="21"/>
          <w:lang w:val="en-US"/>
        </w:rPr>
        <w:t xml:space="preserve"> Board Chair </w:t>
      </w:r>
      <w:r w:rsidRPr="748C21C4" w:rsidR="1BBAC8D3">
        <w:rPr>
          <w:rFonts w:ascii="Segoe UI" w:hAnsi="Segoe UI" w:eastAsia="Segoe UI" w:cs="Segoe UI"/>
          <w:b w:val="1"/>
          <w:bCs w:val="1"/>
          <w:i w:val="0"/>
          <w:iCs w:val="0"/>
          <w:noProof w:val="0"/>
          <w:sz w:val="21"/>
          <w:szCs w:val="21"/>
          <w:lang w:val="en-US"/>
        </w:rPr>
        <w:t>Cyril Ramaphosa</w:t>
      </w:r>
      <w:r w:rsidRPr="748C21C4" w:rsidR="1BBAC8D3">
        <w:rPr>
          <w:rFonts w:ascii="Segoe UI" w:hAnsi="Segoe UI" w:eastAsia="Segoe UI" w:cs="Segoe UI"/>
          <w:b w:val="0"/>
          <w:bCs w:val="0"/>
          <w:i w:val="0"/>
          <w:iCs w:val="0"/>
          <w:noProof w:val="0"/>
          <w:sz w:val="21"/>
          <w:szCs w:val="21"/>
          <w:lang w:val="en-US"/>
        </w:rPr>
        <w:t xml:space="preserve">; Group CEO </w:t>
      </w:r>
      <w:r w:rsidRPr="748C21C4" w:rsidR="1BBAC8D3">
        <w:rPr>
          <w:rFonts w:ascii="Segoe UI" w:hAnsi="Segoe UI" w:eastAsia="Segoe UI" w:cs="Segoe UI"/>
          <w:b w:val="1"/>
          <w:bCs w:val="1"/>
          <w:i w:val="0"/>
          <w:iCs w:val="0"/>
          <w:noProof w:val="0"/>
          <w:sz w:val="21"/>
          <w:szCs w:val="21"/>
          <w:lang w:val="en-US"/>
        </w:rPr>
        <w:t>Phuthuma Nhleko</w:t>
      </w:r>
      <w:r w:rsidRPr="748C21C4" w:rsidR="1BBAC8D3">
        <w:rPr>
          <w:rFonts w:ascii="Segoe UI" w:hAnsi="Segoe UI" w:eastAsia="Segoe UI" w:cs="Segoe UI"/>
          <w:b w:val="0"/>
          <w:bCs w:val="0"/>
          <w:i w:val="0"/>
          <w:iCs w:val="0"/>
          <w:noProof w:val="0"/>
          <w:sz w:val="21"/>
          <w:szCs w:val="21"/>
          <w:lang w:val="en-US"/>
        </w:rPr>
        <w:t>; CFO; Non-Executive Directors; Head of Strategy; Head of Network Operations; Company Secretary (recording minutes).</w:t>
      </w:r>
    </w:p>
    <w:p w:rsidR="00C4701E" w:rsidP="748C21C4" w:rsidRDefault="00C4701E" w14:paraId="47DCE3F1" w14:textId="5FF0EE4F">
      <w:pPr>
        <w:spacing w:before="0" w:beforeAutospacing="off" w:after="0" w:afterAutospacing="off" w:line="300" w:lineRule="auto"/>
      </w:pPr>
      <w:r w:rsidRPr="748C21C4" w:rsidR="1BBAC8D3">
        <w:rPr>
          <w:rFonts w:ascii="Segoe UI" w:hAnsi="Segoe UI" w:eastAsia="Segoe UI" w:cs="Segoe UI"/>
          <w:b w:val="1"/>
          <w:bCs w:val="1"/>
          <w:i w:val="0"/>
          <w:iCs w:val="0"/>
          <w:noProof w:val="0"/>
          <w:sz w:val="21"/>
          <w:szCs w:val="21"/>
          <w:lang w:val="en-US"/>
        </w:rPr>
        <w:t>Agenda:</w:t>
      </w:r>
    </w:p>
    <w:p w:rsidR="00C4701E" w:rsidP="748C21C4" w:rsidRDefault="00C4701E" w14:paraId="741866CA" w14:textId="2766C65F">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8C21C4" w:rsidR="1BBAC8D3">
        <w:rPr>
          <w:rFonts w:ascii="Segoe UI" w:hAnsi="Segoe UI" w:eastAsia="Segoe UI" w:cs="Segoe UI"/>
          <w:b w:val="0"/>
          <w:bCs w:val="0"/>
          <w:i w:val="0"/>
          <w:iCs w:val="0"/>
          <w:noProof w:val="0"/>
          <w:sz w:val="21"/>
          <w:szCs w:val="21"/>
          <w:lang w:val="en-US"/>
        </w:rPr>
        <w:t xml:space="preserve">Review and approval of the proposed </w:t>
      </w:r>
      <w:r w:rsidRPr="748C21C4" w:rsidR="1BBAC8D3">
        <w:rPr>
          <w:rFonts w:ascii="Segoe UI" w:hAnsi="Segoe UI" w:eastAsia="Segoe UI" w:cs="Segoe UI"/>
          <w:b w:val="1"/>
          <w:bCs w:val="1"/>
          <w:i w:val="0"/>
          <w:iCs w:val="0"/>
          <w:noProof w:val="0"/>
          <w:sz w:val="21"/>
          <w:szCs w:val="21"/>
          <w:lang w:val="en-US"/>
        </w:rPr>
        <w:t>Investcom acquisition</w:t>
      </w:r>
      <w:r w:rsidRPr="748C21C4" w:rsidR="1BBAC8D3">
        <w:rPr>
          <w:rFonts w:ascii="Segoe UI" w:hAnsi="Segoe UI" w:eastAsia="Segoe UI" w:cs="Segoe UI"/>
          <w:b w:val="0"/>
          <w:bCs w:val="0"/>
          <w:i w:val="0"/>
          <w:iCs w:val="0"/>
          <w:noProof w:val="0"/>
          <w:sz w:val="21"/>
          <w:szCs w:val="21"/>
          <w:lang w:val="en-US"/>
        </w:rPr>
        <w:t xml:space="preserve"> to expand MTN’s footprint across Africa and the Middle East.</w:t>
      </w:r>
    </w:p>
    <w:p w:rsidR="00C4701E" w:rsidP="748C21C4" w:rsidRDefault="00C4701E" w14:paraId="0E510DA9" w14:textId="20C96344">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8C21C4" w:rsidR="1BBAC8D3">
        <w:rPr>
          <w:rFonts w:ascii="Segoe UI" w:hAnsi="Segoe UI" w:eastAsia="Segoe UI" w:cs="Segoe UI"/>
          <w:b w:val="0"/>
          <w:bCs w:val="0"/>
          <w:i w:val="0"/>
          <w:iCs w:val="0"/>
          <w:noProof w:val="0"/>
          <w:sz w:val="21"/>
          <w:szCs w:val="21"/>
          <w:lang w:val="en-US"/>
        </w:rPr>
        <w:t>Evaluation of network infrastructure investment needs in new markets.</w:t>
      </w:r>
    </w:p>
    <w:p w:rsidR="00C4701E" w:rsidP="748C21C4" w:rsidRDefault="00C4701E" w14:paraId="3DBAC664" w14:textId="24EE92D2">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8C21C4" w:rsidR="1BBAC8D3">
        <w:rPr>
          <w:rFonts w:ascii="Segoe UI" w:hAnsi="Segoe UI" w:eastAsia="Segoe UI" w:cs="Segoe UI"/>
          <w:b w:val="0"/>
          <w:bCs w:val="0"/>
          <w:i w:val="0"/>
          <w:iCs w:val="0"/>
          <w:noProof w:val="0"/>
          <w:sz w:val="21"/>
          <w:szCs w:val="21"/>
          <w:lang w:val="en-US"/>
        </w:rPr>
        <w:t>Risk assessment and integration plan for combining operations with Investcom.</w:t>
      </w:r>
    </w:p>
    <w:p w:rsidR="00C4701E" w:rsidP="748C21C4" w:rsidRDefault="00C4701E" w14:paraId="4596AB24" w14:textId="336060D6">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48C21C4" w:rsidR="1BBAC8D3">
        <w:rPr>
          <w:rFonts w:ascii="Segoe UI" w:hAnsi="Segoe UI" w:eastAsia="Segoe UI" w:cs="Segoe UI"/>
          <w:b w:val="0"/>
          <w:bCs w:val="0"/>
          <w:i w:val="0"/>
          <w:iCs w:val="0"/>
          <w:noProof w:val="0"/>
          <w:sz w:val="21"/>
          <w:szCs w:val="21"/>
          <w:lang w:val="en-US"/>
        </w:rPr>
        <w:t>Discussion of capital expenditure and financing strategy for the acquisition.</w:t>
      </w:r>
    </w:p>
    <w:p w:rsidR="00C4701E" w:rsidP="748C21C4" w:rsidRDefault="00C4701E" w14:paraId="2532EFD9" w14:textId="564955C1">
      <w:pPr>
        <w:spacing w:before="0" w:beforeAutospacing="off" w:after="0" w:afterAutospacing="off" w:line="300" w:lineRule="auto"/>
      </w:pPr>
      <w:r w:rsidRPr="748C21C4" w:rsidR="1BBAC8D3">
        <w:rPr>
          <w:rFonts w:ascii="Segoe UI" w:hAnsi="Segoe UI" w:eastAsia="Segoe UI" w:cs="Segoe UI"/>
          <w:b w:val="1"/>
          <w:bCs w:val="1"/>
          <w:i w:val="0"/>
          <w:iCs w:val="0"/>
          <w:noProof w:val="0"/>
          <w:sz w:val="21"/>
          <w:szCs w:val="21"/>
          <w:lang w:val="en-US"/>
        </w:rPr>
        <w:t>Key Discussion Points:</w:t>
      </w:r>
    </w:p>
    <w:p w:rsidR="00C4701E" w:rsidP="748C21C4" w:rsidRDefault="00C4701E" w14:paraId="496FFA9B" w14:textId="68A8B636">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48C21C4" w:rsidR="1BBAC8D3">
        <w:rPr>
          <w:rFonts w:ascii="Segoe UI" w:hAnsi="Segoe UI" w:eastAsia="Segoe UI" w:cs="Segoe UI"/>
          <w:b w:val="1"/>
          <w:bCs w:val="1"/>
          <w:i w:val="0"/>
          <w:iCs w:val="0"/>
          <w:noProof w:val="0"/>
          <w:sz w:val="21"/>
          <w:szCs w:val="21"/>
          <w:lang w:val="en-US"/>
        </w:rPr>
        <w:t>Strategic Rationale:</w:t>
      </w:r>
      <w:r w:rsidRPr="748C21C4" w:rsidR="1BBAC8D3">
        <w:rPr>
          <w:rFonts w:ascii="Segoe UI" w:hAnsi="Segoe UI" w:eastAsia="Segoe UI" w:cs="Segoe UI"/>
          <w:b w:val="0"/>
          <w:bCs w:val="0"/>
          <w:i w:val="0"/>
          <w:iCs w:val="0"/>
          <w:noProof w:val="0"/>
          <w:sz w:val="21"/>
          <w:szCs w:val="21"/>
          <w:lang w:val="en-US"/>
        </w:rPr>
        <w:t xml:space="preserve"> Management presented the case for acquiring </w:t>
      </w:r>
      <w:r w:rsidRPr="748C21C4" w:rsidR="1BBAC8D3">
        <w:rPr>
          <w:rFonts w:ascii="Segoe UI" w:hAnsi="Segoe UI" w:eastAsia="Segoe UI" w:cs="Segoe UI"/>
          <w:b w:val="1"/>
          <w:bCs w:val="1"/>
          <w:i w:val="0"/>
          <w:iCs w:val="0"/>
          <w:noProof w:val="0"/>
          <w:sz w:val="21"/>
          <w:szCs w:val="21"/>
          <w:lang w:val="en-US"/>
        </w:rPr>
        <w:t>Investcom LLC</w:t>
      </w:r>
      <w:r w:rsidRPr="748C21C4" w:rsidR="1BBAC8D3">
        <w:rPr>
          <w:rFonts w:ascii="Segoe UI" w:hAnsi="Segoe UI" w:eastAsia="Segoe UI" w:cs="Segoe UI"/>
          <w:b w:val="0"/>
          <w:bCs w:val="0"/>
          <w:i w:val="0"/>
          <w:iCs w:val="0"/>
          <w:noProof w:val="0"/>
          <w:sz w:val="21"/>
          <w:szCs w:val="21"/>
          <w:lang w:val="en-US"/>
        </w:rPr>
        <w:t xml:space="preserve">, a regional telecom operator, as a fast-track to enter new markets in the Middle East and further Africa. The deal, </w:t>
      </w:r>
      <w:r w:rsidRPr="748C21C4" w:rsidR="1BBAC8D3">
        <w:rPr>
          <w:rFonts w:ascii="Segoe UI" w:hAnsi="Segoe UI" w:eastAsia="Segoe UI" w:cs="Segoe UI"/>
          <w:b w:val="1"/>
          <w:bCs w:val="1"/>
          <w:i w:val="0"/>
          <w:iCs w:val="0"/>
          <w:noProof w:val="0"/>
          <w:sz w:val="21"/>
          <w:szCs w:val="21"/>
          <w:lang w:val="en-US"/>
        </w:rPr>
        <w:t>valued at approximately US$5.5 billion</w:t>
      </w:r>
      <w:r w:rsidRPr="748C21C4" w:rsidR="1BBAC8D3">
        <w:rPr>
          <w:rFonts w:ascii="Segoe UI" w:hAnsi="Segoe UI" w:eastAsia="Segoe UI" w:cs="Segoe UI"/>
          <w:b w:val="0"/>
          <w:bCs w:val="0"/>
          <w:i w:val="0"/>
          <w:iCs w:val="0"/>
          <w:noProof w:val="0"/>
          <w:sz w:val="21"/>
          <w:szCs w:val="21"/>
          <w:lang w:val="en-US"/>
        </w:rPr>
        <w:t xml:space="preserve">, would instantly extend MTN’s operations from 11 countries to </w:t>
      </w:r>
      <w:r w:rsidRPr="748C21C4" w:rsidR="1BBAC8D3">
        <w:rPr>
          <w:rFonts w:ascii="Segoe UI" w:hAnsi="Segoe UI" w:eastAsia="Segoe UI" w:cs="Segoe UI"/>
          <w:b w:val="1"/>
          <w:bCs w:val="1"/>
          <w:i w:val="0"/>
          <w:iCs w:val="0"/>
          <w:noProof w:val="0"/>
          <w:sz w:val="21"/>
          <w:szCs w:val="21"/>
          <w:lang w:val="en-US"/>
        </w:rPr>
        <w:t>21 countries across Africa and the Middle East</w:t>
      </w:r>
      <w:r w:rsidRPr="748C21C4" w:rsidR="1BBAC8D3">
        <w:rPr>
          <w:rFonts w:ascii="Segoe UI" w:hAnsi="Segoe UI" w:eastAsia="Segoe UI" w:cs="Segoe UI"/>
          <w:b w:val="0"/>
          <w:bCs w:val="0"/>
          <w:i w:val="0"/>
          <w:iCs w:val="0"/>
          <w:noProof w:val="0"/>
          <w:sz w:val="21"/>
          <w:szCs w:val="21"/>
          <w:lang w:val="en-US"/>
        </w:rPr>
        <w:t xml:space="preserve">. The combined subscriber base would reach roughly </w:t>
      </w:r>
      <w:r w:rsidRPr="748C21C4" w:rsidR="1BBAC8D3">
        <w:rPr>
          <w:rFonts w:ascii="Segoe UI" w:hAnsi="Segoe UI" w:eastAsia="Segoe UI" w:cs="Segoe UI"/>
          <w:b w:val="1"/>
          <w:bCs w:val="1"/>
          <w:i w:val="0"/>
          <w:iCs w:val="0"/>
          <w:noProof w:val="0"/>
          <w:sz w:val="21"/>
          <w:szCs w:val="21"/>
          <w:lang w:val="en-US"/>
        </w:rPr>
        <w:t>28 million</w:t>
      </w:r>
      <w:r w:rsidRPr="748C21C4" w:rsidR="1BBAC8D3">
        <w:rPr>
          <w:rFonts w:ascii="Segoe UI" w:hAnsi="Segoe UI" w:eastAsia="Segoe UI" w:cs="Segoe UI"/>
          <w:b w:val="0"/>
          <w:bCs w:val="0"/>
          <w:i w:val="0"/>
          <w:iCs w:val="0"/>
          <w:noProof w:val="0"/>
          <w:sz w:val="21"/>
          <w:szCs w:val="21"/>
          <w:lang w:val="en-US"/>
        </w:rPr>
        <w:t xml:space="preserve"> (as of end-2005) – a significant jump for MTN’s footprint. CEO Phuthuma Nhleko emphasized that this move aligns with MTN’s vision of being a leading emerging markets telecom operator and captures high-growth markets before competitors do. He noted that there were </w:t>
      </w:r>
      <w:r w:rsidRPr="748C21C4" w:rsidR="1BBAC8D3">
        <w:rPr>
          <w:rFonts w:ascii="Segoe UI" w:hAnsi="Segoe UI" w:eastAsia="Segoe UI" w:cs="Segoe UI"/>
          <w:b w:val="1"/>
          <w:bCs w:val="1"/>
          <w:i w:val="0"/>
          <w:iCs w:val="0"/>
          <w:noProof w:val="0"/>
          <w:sz w:val="21"/>
          <w:szCs w:val="21"/>
          <w:lang w:val="en-US"/>
        </w:rPr>
        <w:t>no overlapping operations</w:t>
      </w:r>
      <w:r w:rsidRPr="748C21C4" w:rsidR="1BBAC8D3">
        <w:rPr>
          <w:rFonts w:ascii="Segoe UI" w:hAnsi="Segoe UI" w:eastAsia="Segoe UI" w:cs="Segoe UI"/>
          <w:b w:val="0"/>
          <w:bCs w:val="0"/>
          <w:i w:val="0"/>
          <w:iCs w:val="0"/>
          <w:noProof w:val="0"/>
          <w:sz w:val="21"/>
          <w:szCs w:val="21"/>
          <w:lang w:val="en-US"/>
        </w:rPr>
        <w:t xml:space="preserve"> between MTN and Investcom, meaning the expansion is pure extension into new territories. </w:t>
      </w:r>
      <w:hyperlink r:id="R4dac590d16a34c29">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r w:rsidRPr="748C21C4" w:rsidR="1BBAC8D3">
        <w:rPr>
          <w:rFonts w:ascii="Segoe UI" w:hAnsi="Segoe UI" w:eastAsia="Segoe UI" w:cs="Segoe UI"/>
          <w:b w:val="0"/>
          <w:bCs w:val="0"/>
          <w:i w:val="0"/>
          <w:iCs w:val="0"/>
          <w:noProof w:val="0"/>
          <w:sz w:val="21"/>
          <w:szCs w:val="21"/>
          <w:lang w:val="en-US"/>
        </w:rPr>
        <w:t xml:space="preserve">, </w:t>
      </w:r>
      <w:hyperlink r:id="Ra198de0b15184f0d">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[dailyinvestor.com]</w:t>
        </w:r>
      </w:hyperlink>
      <w:r w:rsidRPr="748C21C4" w:rsidR="1BBAC8D3">
        <w:rPr>
          <w:rFonts w:ascii="Segoe UI" w:hAnsi="Segoe UI" w:eastAsia="Segoe UI" w:cs="Segoe UI"/>
          <w:b w:val="0"/>
          <w:bCs w:val="0"/>
          <w:i w:val="0"/>
          <w:iCs w:val="0"/>
          <w:noProof w:val="0"/>
          <w:sz w:val="21"/>
          <w:szCs w:val="21"/>
          <w:lang w:val="en-US"/>
        </w:rPr>
        <w:t xml:space="preserve"> </w:t>
      </w:r>
      <w:hyperlink r:id="Ra3b1729445244bbd">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r w:rsidRPr="748C21C4" w:rsidR="1BBAC8D3">
        <w:rPr>
          <w:rFonts w:ascii="Segoe UI" w:hAnsi="Segoe UI" w:eastAsia="Segoe UI" w:cs="Segoe UI"/>
          <w:b w:val="0"/>
          <w:bCs w:val="0"/>
          <w:i w:val="0"/>
          <w:iCs w:val="0"/>
          <w:noProof w:val="0"/>
          <w:sz w:val="21"/>
          <w:szCs w:val="21"/>
          <w:lang w:val="en-US"/>
        </w:rPr>
        <w:t xml:space="preserve"> </w:t>
      </w:r>
      <w:hyperlink r:id="R1c5e82a18aa542ed">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r w:rsidRPr="748C21C4" w:rsidR="1BBAC8D3">
        <w:rPr>
          <w:rFonts w:ascii="Segoe UI" w:hAnsi="Segoe UI" w:eastAsia="Segoe UI" w:cs="Segoe UI"/>
          <w:b w:val="0"/>
          <w:bCs w:val="0"/>
          <w:i w:val="0"/>
          <w:iCs w:val="0"/>
          <w:noProof w:val="0"/>
          <w:sz w:val="21"/>
          <w:szCs w:val="21"/>
          <w:lang w:val="en-US"/>
        </w:rPr>
        <w:t xml:space="preserve">, </w:t>
      </w:r>
      <w:hyperlink r:id="Rc7ec779d60e74618">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748C21C4" w:rsidRDefault="00C4701E" w14:paraId="6896DA51" w14:textId="19C19686">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48C21C4" w:rsidR="1BBAC8D3">
        <w:rPr>
          <w:rFonts w:ascii="Segoe UI" w:hAnsi="Segoe UI" w:eastAsia="Segoe UI" w:cs="Segoe UI"/>
          <w:b w:val="1"/>
          <w:bCs w:val="1"/>
          <w:i w:val="0"/>
          <w:iCs w:val="0"/>
          <w:noProof w:val="0"/>
          <w:sz w:val="21"/>
          <w:szCs w:val="21"/>
          <w:lang w:val="en-US"/>
        </w:rPr>
        <w:t>Market Growth Opportunities:</w:t>
      </w:r>
      <w:r w:rsidRPr="748C21C4" w:rsidR="1BBAC8D3">
        <w:rPr>
          <w:rFonts w:ascii="Segoe UI" w:hAnsi="Segoe UI" w:eastAsia="Segoe UI" w:cs="Segoe UI"/>
          <w:b w:val="0"/>
          <w:bCs w:val="0"/>
          <w:i w:val="0"/>
          <w:iCs w:val="0"/>
          <w:noProof w:val="0"/>
          <w:sz w:val="21"/>
          <w:szCs w:val="21"/>
          <w:lang w:val="en-US"/>
        </w:rPr>
        <w:t xml:space="preserve"> The board reviewed data showing that mobile penetration in many of these new markets was still low, offering huge subscriber growth potential. The </w:t>
      </w:r>
      <w:r w:rsidRPr="748C21C4" w:rsidR="1BBAC8D3">
        <w:rPr>
          <w:rFonts w:ascii="Segoe UI" w:hAnsi="Segoe UI" w:eastAsia="Segoe UI" w:cs="Segoe UI"/>
          <w:b w:val="0"/>
          <w:bCs w:val="0"/>
          <w:i w:val="1"/>
          <w:iCs w:val="1"/>
          <w:noProof w:val="0"/>
          <w:sz w:val="21"/>
          <w:szCs w:val="21"/>
          <w:lang w:val="en-US"/>
        </w:rPr>
        <w:t>“modern-day scramble for Africa”</w:t>
      </w:r>
      <w:r w:rsidRPr="748C21C4" w:rsidR="1BBAC8D3">
        <w:rPr>
          <w:rFonts w:ascii="Segoe UI" w:hAnsi="Segoe UI" w:eastAsia="Segoe UI" w:cs="Segoe UI"/>
          <w:b w:val="0"/>
          <w:bCs w:val="0"/>
          <w:i w:val="0"/>
          <w:iCs w:val="0"/>
          <w:noProof w:val="0"/>
          <w:sz w:val="21"/>
          <w:szCs w:val="21"/>
          <w:lang w:val="en-US"/>
        </w:rPr>
        <w:t xml:space="preserve"> among telecom operators was discussed, underlining the urgency of securing licenses and subscribers early in under-served countries. Markets like </w:t>
      </w:r>
      <w:r w:rsidRPr="748C21C4" w:rsidR="1BBAC8D3">
        <w:rPr>
          <w:rFonts w:ascii="Segoe UI" w:hAnsi="Segoe UI" w:eastAsia="Segoe UI" w:cs="Segoe UI"/>
          <w:b w:val="1"/>
          <w:bCs w:val="1"/>
          <w:i w:val="0"/>
          <w:iCs w:val="0"/>
          <w:noProof w:val="0"/>
          <w:sz w:val="21"/>
          <w:szCs w:val="21"/>
          <w:lang w:val="en-US"/>
        </w:rPr>
        <w:t>Ghana, Sudan, Syria, and Yemen</w:t>
      </w:r>
      <w:r w:rsidRPr="748C21C4" w:rsidR="1BBAC8D3">
        <w:rPr>
          <w:rFonts w:ascii="Segoe UI" w:hAnsi="Segoe UI" w:eastAsia="Segoe UI" w:cs="Segoe UI"/>
          <w:b w:val="0"/>
          <w:bCs w:val="0"/>
          <w:i w:val="0"/>
          <w:iCs w:val="0"/>
          <w:noProof w:val="0"/>
          <w:sz w:val="21"/>
          <w:szCs w:val="21"/>
          <w:lang w:val="en-US"/>
        </w:rPr>
        <w:t xml:space="preserve"> were highlighted as key additions. The Head of Strategy presented projections that with this acquisition, MTN would serve a population of nearly </w:t>
      </w:r>
      <w:r w:rsidRPr="748C21C4" w:rsidR="1BBAC8D3">
        <w:rPr>
          <w:rFonts w:ascii="Segoe UI" w:hAnsi="Segoe UI" w:eastAsia="Segoe UI" w:cs="Segoe UI"/>
          <w:b w:val="1"/>
          <w:bCs w:val="1"/>
          <w:i w:val="0"/>
          <w:iCs w:val="0"/>
          <w:noProof w:val="0"/>
          <w:sz w:val="21"/>
          <w:szCs w:val="21"/>
          <w:lang w:val="en-US"/>
        </w:rPr>
        <w:t>500 million people</w:t>
      </w:r>
      <w:r w:rsidRPr="748C21C4" w:rsidR="1BBAC8D3">
        <w:rPr>
          <w:rFonts w:ascii="Segoe UI" w:hAnsi="Segoe UI" w:eastAsia="Segoe UI" w:cs="Segoe UI"/>
          <w:b w:val="0"/>
          <w:bCs w:val="0"/>
          <w:i w:val="0"/>
          <w:iCs w:val="0"/>
          <w:noProof w:val="0"/>
          <w:sz w:val="21"/>
          <w:szCs w:val="21"/>
          <w:lang w:val="en-US"/>
        </w:rPr>
        <w:t xml:space="preserve"> across its footprint, positioning MTN as the largest mobile operator in Africa and a major player in the Middle East. </w:t>
      </w:r>
      <w:hyperlink r:id="Rafc4969eec2b4107">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748C21C4" w:rsidRDefault="00C4701E" w14:paraId="31AC2A40" w14:textId="3C452A84">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748C21C4" w:rsidR="1BBAC8D3">
        <w:rPr>
          <w:rFonts w:ascii="Segoe UI" w:hAnsi="Segoe UI" w:eastAsia="Segoe UI" w:cs="Segoe UI"/>
          <w:b w:val="1"/>
          <w:bCs w:val="1"/>
          <w:i w:val="0"/>
          <w:iCs w:val="0"/>
          <w:noProof w:val="0"/>
          <w:sz w:val="21"/>
          <w:szCs w:val="21"/>
          <w:lang w:val="en-US"/>
        </w:rPr>
        <w:t>Integration &amp; Operations:</w:t>
      </w:r>
      <w:r w:rsidRPr="748C21C4" w:rsidR="1BBAC8D3">
        <w:rPr>
          <w:rFonts w:ascii="Segoe UI" w:hAnsi="Segoe UI" w:eastAsia="Segoe UI" w:cs="Segoe UI"/>
          <w:b w:val="0"/>
          <w:bCs w:val="0"/>
          <w:i w:val="0"/>
          <w:iCs w:val="0"/>
          <w:noProof w:val="0"/>
          <w:sz w:val="21"/>
          <w:szCs w:val="21"/>
          <w:lang w:val="en-US"/>
        </w:rPr>
        <w:t xml:space="preserve"> The COO explained integration plans for Investcom’s operations, assuring the board that Investcom’s 4.7 million subscribers (as of 2005) would be smoothly migrated under the MTN brand. The board discussed managing diverse regulatory environments and ensuring consistent service quality across 21 markets. Lessons learned from MTN’s past expansions (e.g., into Nigeria, East and West Africa) were considered to mitigate risks. The Head of Network Operations outlined the infrastructure upgrades needed for new regions and a timeline to roll out improved GSM coverage and value-added services in each acquired market. </w:t>
      </w:r>
      <w:hyperlink r:id="Rcf39d561079d4900">
        <w:r w:rsidRPr="748C21C4" w:rsidR="1BBAC8D3">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748C21C4" w:rsidRDefault="00C4701E" w14:paraId="659F8662" w14:textId="40634081">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1E73482">
        <w:rPr>
          <w:rFonts w:ascii="Segoe UI" w:hAnsi="Segoe UI" w:eastAsia="Segoe UI" w:cs="Segoe UI"/>
          <w:b w:val="1"/>
          <w:bCs w:val="1"/>
          <w:i w:val="0"/>
          <w:iCs w:val="0"/>
          <w:noProof w:val="0"/>
          <w:sz w:val="21"/>
          <w:szCs w:val="21"/>
          <w:lang w:val="en-US"/>
        </w:rPr>
        <w:t>Financial Considerations:</w:t>
      </w:r>
      <w:r w:rsidRPr="467C89A6" w:rsidR="71E73482">
        <w:rPr>
          <w:rFonts w:ascii="Segoe UI" w:hAnsi="Segoe UI" w:eastAsia="Segoe UI" w:cs="Segoe UI"/>
          <w:b w:val="0"/>
          <w:bCs w:val="0"/>
          <w:i w:val="0"/>
          <w:iCs w:val="0"/>
          <w:noProof w:val="0"/>
          <w:sz w:val="21"/>
          <w:szCs w:val="21"/>
          <w:lang w:val="en-US"/>
        </w:rPr>
        <w:t xml:space="preserve"> The CFO reviewed the financing plan. The acquisition would be funded via a mix of debt and equity: a syndicated loan facility (arranged by Deutsche Bank) for approximately </w:t>
      </w:r>
      <w:r w:rsidRPr="467C89A6" w:rsidR="71E73482">
        <w:rPr>
          <w:rFonts w:ascii="Segoe UI" w:hAnsi="Segoe UI" w:eastAsia="Segoe UI" w:cs="Segoe UI"/>
          <w:b w:val="1"/>
          <w:bCs w:val="1"/>
          <w:i w:val="0"/>
          <w:iCs w:val="0"/>
          <w:noProof w:val="0"/>
          <w:sz w:val="21"/>
          <w:szCs w:val="21"/>
          <w:lang w:val="en-US"/>
        </w:rPr>
        <w:t>US$3.85 billion</w:t>
      </w:r>
      <w:r w:rsidRPr="467C89A6" w:rsidR="71E73482">
        <w:rPr>
          <w:rFonts w:ascii="Segoe UI" w:hAnsi="Segoe UI" w:eastAsia="Segoe UI" w:cs="Segoe UI"/>
          <w:b w:val="0"/>
          <w:bCs w:val="0"/>
          <w:i w:val="0"/>
          <w:iCs w:val="0"/>
          <w:noProof w:val="0"/>
          <w:sz w:val="21"/>
          <w:szCs w:val="21"/>
          <w:lang w:val="en-US"/>
        </w:rPr>
        <w:t xml:space="preserve"> and the issuance of new MTN shares for the remainder. The board discussed the impact of this debt on the company’s leverage and credit metrics. Phuthuma Nhleko highlighted that Investcom’s strong revenue and subscriber growth (94% subscriber growth in 2005) would immediately contribute to MTN’s top-line and EBITDA, offsetting financing costs. He also noted that MTN’s market capitalisation would significantly increase post-acquisition, solidifying MTN’s status as a leading </w:t>
      </w:r>
      <w:r w:rsidRPr="467C89A6" w:rsidR="71E73482">
        <w:rPr>
          <w:rFonts w:ascii="Segoe UI" w:hAnsi="Segoe UI" w:eastAsia="Segoe UI" w:cs="Segoe UI"/>
          <w:b w:val="1"/>
          <w:bCs w:val="1"/>
          <w:i w:val="0"/>
          <w:iCs w:val="0"/>
          <w:noProof w:val="0"/>
          <w:sz w:val="21"/>
          <w:szCs w:val="21"/>
          <w:lang w:val="en-US"/>
        </w:rPr>
        <w:t>emerging markets telecom giant</w:t>
      </w:r>
      <w:r w:rsidRPr="467C89A6" w:rsidR="71E73482">
        <w:rPr>
          <w:rFonts w:ascii="Segoe UI" w:hAnsi="Segoe UI" w:eastAsia="Segoe UI" w:cs="Segoe UI"/>
          <w:b w:val="0"/>
          <w:bCs w:val="0"/>
          <w:i w:val="0"/>
          <w:iCs w:val="0"/>
          <w:noProof w:val="0"/>
          <w:sz w:val="21"/>
          <w:szCs w:val="21"/>
          <w:lang w:val="en-US"/>
        </w:rPr>
        <w:t xml:space="preserve">. </w:t>
      </w:r>
      <w:hyperlink r:id="Rff1792532d914b50">
        <w:r w:rsidRPr="467C89A6" w:rsidR="71E73482">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428EB478" w14:textId="7F6974CE">
      <w:pPr>
        <w:spacing w:before="0" w:beforeAutospacing="off" w:after="0" w:afterAutospacing="off" w:line="300" w:lineRule="auto"/>
      </w:pPr>
      <w:r w:rsidRPr="467C89A6" w:rsidR="726BF74B">
        <w:rPr>
          <w:rFonts w:ascii="Segoe UI" w:hAnsi="Segoe UI" w:eastAsia="Segoe UI" w:cs="Segoe UI"/>
          <w:b w:val="1"/>
          <w:bCs w:val="1"/>
          <w:i w:val="0"/>
          <w:iCs w:val="0"/>
          <w:noProof w:val="0"/>
          <w:sz w:val="21"/>
          <w:szCs w:val="21"/>
          <w:lang w:val="en-US"/>
        </w:rPr>
        <w:t>Decisions Made:</w:t>
      </w:r>
    </w:p>
    <w:p w:rsidR="00C4701E" w:rsidP="467C89A6" w:rsidRDefault="00C4701E" w14:paraId="18764506" w14:textId="5AC9D3D5">
      <w:pPr>
        <w:pStyle w:val="ListParagraph"/>
        <w:numPr>
          <w:ilvl w:val="0"/>
          <w:numId w:val="3"/>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26BF74B">
        <w:rPr>
          <w:rFonts w:ascii="Segoe UI" w:hAnsi="Segoe UI" w:eastAsia="Segoe UI" w:cs="Segoe UI"/>
          <w:b w:val="1"/>
          <w:bCs w:val="1"/>
          <w:i w:val="0"/>
          <w:iCs w:val="0"/>
          <w:noProof w:val="0"/>
          <w:sz w:val="21"/>
          <w:szCs w:val="21"/>
          <w:lang w:val="en-US"/>
        </w:rPr>
        <w:t>Approval of Acquisition:</w:t>
      </w:r>
      <w:r w:rsidRPr="467C89A6" w:rsidR="726BF74B">
        <w:rPr>
          <w:rFonts w:ascii="Segoe UI" w:hAnsi="Segoe UI" w:eastAsia="Segoe UI" w:cs="Segoe UI"/>
          <w:b w:val="0"/>
          <w:bCs w:val="0"/>
          <w:i w:val="0"/>
          <w:iCs w:val="0"/>
          <w:noProof w:val="0"/>
          <w:sz w:val="21"/>
          <w:szCs w:val="21"/>
          <w:lang w:val="en-US"/>
        </w:rPr>
        <w:t xml:space="preserve"> The Board </w:t>
      </w:r>
      <w:r w:rsidRPr="467C89A6" w:rsidR="726BF74B">
        <w:rPr>
          <w:rFonts w:ascii="Segoe UI" w:hAnsi="Segoe UI" w:eastAsia="Segoe UI" w:cs="Segoe UI"/>
          <w:b w:val="1"/>
          <w:bCs w:val="1"/>
          <w:i w:val="0"/>
          <w:iCs w:val="0"/>
          <w:noProof w:val="0"/>
          <w:sz w:val="21"/>
          <w:szCs w:val="21"/>
          <w:lang w:val="en-US"/>
        </w:rPr>
        <w:t>unanimously approved</w:t>
      </w:r>
      <w:r w:rsidRPr="467C89A6" w:rsidR="726BF74B">
        <w:rPr>
          <w:rFonts w:ascii="Segoe UI" w:hAnsi="Segoe UI" w:eastAsia="Segoe UI" w:cs="Segoe UI"/>
          <w:b w:val="0"/>
          <w:bCs w:val="0"/>
          <w:i w:val="0"/>
          <w:iCs w:val="0"/>
          <w:noProof w:val="0"/>
          <w:sz w:val="21"/>
          <w:szCs w:val="21"/>
          <w:lang w:val="en-US"/>
        </w:rPr>
        <w:t xml:space="preserve"> the acquisition of Investcom LLC for US$5.526 billion. The strategic benefits in subscriber growth and expanded footprint were deemed to far outweigh the risks. </w:t>
      </w:r>
      <w:hyperlink r:id="Rd79f364d6e0e41cd">
        <w:r w:rsidRPr="467C89A6" w:rsidR="726BF74B">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3290BF87" w14:textId="6966198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67C89A6" w:rsidR="726BF74B">
        <w:rPr>
          <w:rFonts w:ascii="Segoe UI" w:hAnsi="Segoe UI" w:eastAsia="Segoe UI" w:cs="Segoe UI"/>
          <w:b w:val="1"/>
          <w:bCs w:val="1"/>
          <w:i w:val="0"/>
          <w:iCs w:val="0"/>
          <w:noProof w:val="0"/>
          <w:sz w:val="21"/>
          <w:szCs w:val="21"/>
          <w:lang w:val="en-US"/>
        </w:rPr>
        <w:t>Integration Plan Endorsed:</w:t>
      </w:r>
      <w:r w:rsidRPr="467C89A6" w:rsidR="726BF74B">
        <w:rPr>
          <w:rFonts w:ascii="Segoe UI" w:hAnsi="Segoe UI" w:eastAsia="Segoe UI" w:cs="Segoe UI"/>
          <w:b w:val="0"/>
          <w:bCs w:val="0"/>
          <w:i w:val="0"/>
          <w:iCs w:val="0"/>
          <w:noProof w:val="0"/>
          <w:sz w:val="21"/>
          <w:szCs w:val="21"/>
          <w:lang w:val="en-US"/>
        </w:rPr>
        <w:t xml:space="preserve"> The proposed integration and branding plan for incorporating Investcom’s operations into MTN’s group structure was approved. The Board emphasized maintaining service continuity in all new markets during the transition.</w:t>
      </w:r>
    </w:p>
    <w:p w:rsidR="00C4701E" w:rsidP="467C89A6" w:rsidRDefault="00C4701E" w14:paraId="11447F49" w14:textId="0D88283C">
      <w:pPr>
        <w:pStyle w:val="ListParagraph"/>
        <w:numPr>
          <w:ilvl w:val="0"/>
          <w:numId w:val="3"/>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26BF74B">
        <w:rPr>
          <w:rFonts w:ascii="Segoe UI" w:hAnsi="Segoe UI" w:eastAsia="Segoe UI" w:cs="Segoe UI"/>
          <w:b w:val="1"/>
          <w:bCs w:val="1"/>
          <w:i w:val="0"/>
          <w:iCs w:val="0"/>
          <w:noProof w:val="0"/>
          <w:sz w:val="21"/>
          <w:szCs w:val="21"/>
          <w:lang w:val="en-US"/>
        </w:rPr>
        <w:t>Financing Plan Approved:</w:t>
      </w:r>
      <w:r w:rsidRPr="467C89A6" w:rsidR="726BF74B">
        <w:rPr>
          <w:rFonts w:ascii="Segoe UI" w:hAnsi="Segoe UI" w:eastAsia="Segoe UI" w:cs="Segoe UI"/>
          <w:b w:val="0"/>
          <w:bCs w:val="0"/>
          <w:i w:val="0"/>
          <w:iCs w:val="0"/>
          <w:noProof w:val="0"/>
          <w:sz w:val="21"/>
          <w:szCs w:val="21"/>
          <w:lang w:val="en-US"/>
        </w:rPr>
        <w:t xml:space="preserve"> The Board authorized the financing package as presented by the CFO, including the debt facility and issuance of new shares to fund the acquisition. It was agreed that maintaining an investment-grade credit profile is a priority; thus, a plan to deleverage over the next few years was requested. </w:t>
      </w:r>
      <w:hyperlink r:id="R39195affa99f4363">
        <w:r w:rsidRPr="467C89A6" w:rsidR="726BF74B">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2A464362" w14:textId="0164F714">
      <w:pPr>
        <w:spacing w:before="0" w:beforeAutospacing="off" w:after="0" w:afterAutospacing="off" w:line="300" w:lineRule="auto"/>
      </w:pPr>
      <w:r w:rsidRPr="467C89A6" w:rsidR="726BF74B">
        <w:rPr>
          <w:rFonts w:ascii="Segoe UI" w:hAnsi="Segoe UI" w:eastAsia="Segoe UI" w:cs="Segoe UI"/>
          <w:b w:val="1"/>
          <w:bCs w:val="1"/>
          <w:i w:val="0"/>
          <w:iCs w:val="0"/>
          <w:noProof w:val="0"/>
          <w:sz w:val="21"/>
          <w:szCs w:val="21"/>
          <w:lang w:val="en-US"/>
        </w:rPr>
        <w:t>Action Items:</w:t>
      </w:r>
    </w:p>
    <w:p w:rsidR="00C4701E" w:rsidP="467C89A6" w:rsidRDefault="00C4701E" w14:paraId="5CB77BA0" w14:textId="63DE5990">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26BF74B">
        <w:rPr>
          <w:rFonts w:ascii="Segoe UI" w:hAnsi="Segoe UI" w:eastAsia="Segoe UI" w:cs="Segoe UI"/>
          <w:b w:val="1"/>
          <w:bCs w:val="1"/>
          <w:i w:val="0"/>
          <w:iCs w:val="0"/>
          <w:noProof w:val="0"/>
          <w:sz w:val="21"/>
          <w:szCs w:val="21"/>
          <w:lang w:val="en-US"/>
        </w:rPr>
        <w:t>Regulatory Clearances:</w:t>
      </w:r>
      <w:r w:rsidRPr="467C89A6" w:rsidR="726BF74B">
        <w:rPr>
          <w:rFonts w:ascii="Segoe UI" w:hAnsi="Segoe UI" w:eastAsia="Segoe UI" w:cs="Segoe UI"/>
          <w:b w:val="0"/>
          <w:bCs w:val="0"/>
          <w:i w:val="0"/>
          <w:iCs w:val="0"/>
          <w:noProof w:val="0"/>
          <w:sz w:val="21"/>
          <w:szCs w:val="21"/>
          <w:lang w:val="en-US"/>
        </w:rPr>
        <w:t xml:space="preserve"> </w:t>
      </w:r>
      <w:r w:rsidRPr="467C89A6" w:rsidR="726BF74B">
        <w:rPr>
          <w:rFonts w:ascii="Segoe UI" w:hAnsi="Segoe UI" w:eastAsia="Segoe UI" w:cs="Segoe UI"/>
          <w:b w:val="0"/>
          <w:bCs w:val="0"/>
          <w:i w:val="1"/>
          <w:iCs w:val="1"/>
          <w:noProof w:val="0"/>
          <w:sz w:val="21"/>
          <w:szCs w:val="21"/>
          <w:lang w:val="en-US"/>
        </w:rPr>
        <w:t>Head of Regulatory Affairs</w:t>
      </w:r>
      <w:r w:rsidRPr="467C89A6" w:rsidR="726BF74B">
        <w:rPr>
          <w:rFonts w:ascii="Segoe UI" w:hAnsi="Segoe UI" w:eastAsia="Segoe UI" w:cs="Segoe UI"/>
          <w:b w:val="0"/>
          <w:bCs w:val="0"/>
          <w:i w:val="0"/>
          <w:iCs w:val="0"/>
          <w:noProof w:val="0"/>
          <w:sz w:val="21"/>
          <w:szCs w:val="21"/>
          <w:lang w:val="en-US"/>
        </w:rPr>
        <w:t xml:space="preserve"> to secure all required approvals in remaining jurisdictions (notably Ghana, Sudan, Syria, and Yemen) to finalize the Investcom transaction. Regular updates to be provided to the Board until closing. </w:t>
      </w:r>
      <w:hyperlink r:id="R2ee42bd15a114ca0">
        <w:r w:rsidRPr="467C89A6" w:rsidR="726BF74B">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454509E5" w14:textId="36EA4882">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67C89A6" w:rsidR="726BF74B">
        <w:rPr>
          <w:rFonts w:ascii="Segoe UI" w:hAnsi="Segoe UI" w:eastAsia="Segoe UI" w:cs="Segoe UI"/>
          <w:b w:val="1"/>
          <w:bCs w:val="1"/>
          <w:i w:val="0"/>
          <w:iCs w:val="0"/>
          <w:noProof w:val="0"/>
          <w:sz w:val="21"/>
          <w:szCs w:val="21"/>
          <w:lang w:val="en-US"/>
        </w:rPr>
        <w:t>Integration Team:</w:t>
      </w:r>
      <w:r w:rsidRPr="467C89A6" w:rsidR="726BF74B">
        <w:rPr>
          <w:rFonts w:ascii="Segoe UI" w:hAnsi="Segoe UI" w:eastAsia="Segoe UI" w:cs="Segoe UI"/>
          <w:b w:val="0"/>
          <w:bCs w:val="0"/>
          <w:i w:val="0"/>
          <w:iCs w:val="0"/>
          <w:noProof w:val="0"/>
          <w:sz w:val="21"/>
          <w:szCs w:val="21"/>
          <w:lang w:val="en-US"/>
        </w:rPr>
        <w:t xml:space="preserve"> </w:t>
      </w:r>
      <w:r w:rsidRPr="467C89A6" w:rsidR="726BF74B">
        <w:rPr>
          <w:rFonts w:ascii="Segoe UI" w:hAnsi="Segoe UI" w:eastAsia="Segoe UI" w:cs="Segoe UI"/>
          <w:b w:val="0"/>
          <w:bCs w:val="0"/>
          <w:i w:val="1"/>
          <w:iCs w:val="1"/>
          <w:noProof w:val="0"/>
          <w:sz w:val="21"/>
          <w:szCs w:val="21"/>
          <w:lang w:val="en-US"/>
        </w:rPr>
        <w:t>COO</w:t>
      </w:r>
      <w:r w:rsidRPr="467C89A6" w:rsidR="726BF74B">
        <w:rPr>
          <w:rFonts w:ascii="Segoe UI" w:hAnsi="Segoe UI" w:eastAsia="Segoe UI" w:cs="Segoe UI"/>
          <w:b w:val="0"/>
          <w:bCs w:val="0"/>
          <w:i w:val="0"/>
          <w:iCs w:val="0"/>
          <w:noProof w:val="0"/>
          <w:sz w:val="21"/>
          <w:szCs w:val="21"/>
          <w:lang w:val="en-US"/>
        </w:rPr>
        <w:t xml:space="preserve"> to lead a dedicated integration task force, working with Investcom’s management to align network operations, IT systems, and customer service processes. A detailed integration status report is to be presented at the next quarterly board meeting.</w:t>
      </w:r>
    </w:p>
    <w:p w:rsidR="00C4701E" w:rsidP="467C89A6" w:rsidRDefault="00C4701E" w14:paraId="503E55C7" w14:textId="69E665A4">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26BF74B">
        <w:rPr>
          <w:rFonts w:ascii="Segoe UI" w:hAnsi="Segoe UI" w:eastAsia="Segoe UI" w:cs="Segoe UI"/>
          <w:b w:val="1"/>
          <w:bCs w:val="1"/>
          <w:i w:val="0"/>
          <w:iCs w:val="0"/>
          <w:noProof w:val="0"/>
          <w:sz w:val="21"/>
          <w:szCs w:val="21"/>
          <w:lang w:val="en-US"/>
        </w:rPr>
        <w:t>Communication Plan:</w:t>
      </w:r>
      <w:r w:rsidRPr="467C89A6" w:rsidR="726BF74B">
        <w:rPr>
          <w:rFonts w:ascii="Segoe UI" w:hAnsi="Segoe UI" w:eastAsia="Segoe UI" w:cs="Segoe UI"/>
          <w:b w:val="0"/>
          <w:bCs w:val="0"/>
          <w:i w:val="0"/>
          <w:iCs w:val="0"/>
          <w:noProof w:val="0"/>
          <w:sz w:val="21"/>
          <w:szCs w:val="21"/>
          <w:lang w:val="en-US"/>
        </w:rPr>
        <w:t xml:space="preserve"> </w:t>
      </w:r>
      <w:r w:rsidRPr="467C89A6" w:rsidR="726BF74B">
        <w:rPr>
          <w:rFonts w:ascii="Segoe UI" w:hAnsi="Segoe UI" w:eastAsia="Segoe UI" w:cs="Segoe UI"/>
          <w:b w:val="0"/>
          <w:bCs w:val="0"/>
          <w:i w:val="1"/>
          <w:iCs w:val="1"/>
          <w:noProof w:val="0"/>
          <w:sz w:val="21"/>
          <w:szCs w:val="21"/>
          <w:lang w:val="en-US"/>
        </w:rPr>
        <w:t>Corporate Affairs</w:t>
      </w:r>
      <w:r w:rsidRPr="467C89A6" w:rsidR="726BF74B">
        <w:rPr>
          <w:rFonts w:ascii="Segoe UI" w:hAnsi="Segoe UI" w:eastAsia="Segoe UI" w:cs="Segoe UI"/>
          <w:b w:val="0"/>
          <w:bCs w:val="0"/>
          <w:i w:val="0"/>
          <w:iCs w:val="0"/>
          <w:noProof w:val="0"/>
          <w:sz w:val="21"/>
          <w:szCs w:val="21"/>
          <w:lang w:val="en-US"/>
        </w:rPr>
        <w:t xml:space="preserve"> to prepare a communications strategy announcing the acquisition to investors, employees, customers, and the public once final regulatory approvals are obtained. Emphasize MTN’s growth story and the enhanced footprint covering </w:t>
      </w:r>
      <w:r w:rsidRPr="467C89A6" w:rsidR="726BF74B">
        <w:rPr>
          <w:rFonts w:ascii="Segoe UI" w:hAnsi="Segoe UI" w:eastAsia="Segoe UI" w:cs="Segoe UI"/>
          <w:b w:val="1"/>
          <w:bCs w:val="1"/>
          <w:i w:val="0"/>
          <w:iCs w:val="0"/>
          <w:noProof w:val="0"/>
          <w:sz w:val="21"/>
          <w:szCs w:val="21"/>
          <w:lang w:val="en-US"/>
        </w:rPr>
        <w:t>21 countries</w:t>
      </w:r>
      <w:r w:rsidRPr="467C89A6" w:rsidR="726BF74B">
        <w:rPr>
          <w:rFonts w:ascii="Segoe UI" w:hAnsi="Segoe UI" w:eastAsia="Segoe UI" w:cs="Segoe UI"/>
          <w:b w:val="0"/>
          <w:bCs w:val="0"/>
          <w:i w:val="0"/>
          <w:iCs w:val="0"/>
          <w:noProof w:val="0"/>
          <w:sz w:val="21"/>
          <w:szCs w:val="21"/>
          <w:lang w:val="en-US"/>
        </w:rPr>
        <w:t xml:space="preserve"> and </w:t>
      </w:r>
      <w:r w:rsidRPr="467C89A6" w:rsidR="726BF74B">
        <w:rPr>
          <w:rFonts w:ascii="Segoe UI" w:hAnsi="Segoe UI" w:eastAsia="Segoe UI" w:cs="Segoe UI"/>
          <w:b w:val="1"/>
          <w:bCs w:val="1"/>
          <w:i w:val="0"/>
          <w:iCs w:val="0"/>
          <w:noProof w:val="0"/>
          <w:sz w:val="21"/>
          <w:szCs w:val="21"/>
          <w:lang w:val="en-US"/>
        </w:rPr>
        <w:t>over 28 million customers</w:t>
      </w:r>
      <w:r w:rsidRPr="467C89A6" w:rsidR="726BF74B">
        <w:rPr>
          <w:rFonts w:ascii="Segoe UI" w:hAnsi="Segoe UI" w:eastAsia="Segoe UI" w:cs="Segoe UI"/>
          <w:b w:val="0"/>
          <w:bCs w:val="0"/>
          <w:i w:val="0"/>
          <w:iCs w:val="0"/>
          <w:noProof w:val="0"/>
          <w:sz w:val="21"/>
          <w:szCs w:val="21"/>
          <w:lang w:val="en-US"/>
        </w:rPr>
        <w:t xml:space="preserve">. </w:t>
      </w:r>
      <w:hyperlink r:id="Rce80c35679914889">
        <w:r w:rsidRPr="467C89A6" w:rsidR="726BF74B">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60753957" w14:textId="2082C00D">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67C89A6" w:rsidR="726BF74B">
        <w:rPr>
          <w:rFonts w:ascii="Segoe UI" w:hAnsi="Segoe UI" w:eastAsia="Segoe UI" w:cs="Segoe UI"/>
          <w:b w:val="1"/>
          <w:bCs w:val="1"/>
          <w:i w:val="0"/>
          <w:iCs w:val="0"/>
          <w:noProof w:val="0"/>
          <w:sz w:val="21"/>
          <w:szCs w:val="21"/>
          <w:lang w:val="en-US"/>
        </w:rPr>
        <w:t>Network Expansion Budget:</w:t>
      </w:r>
      <w:r w:rsidRPr="467C89A6" w:rsidR="726BF74B">
        <w:rPr>
          <w:rFonts w:ascii="Segoe UI" w:hAnsi="Segoe UI" w:eastAsia="Segoe UI" w:cs="Segoe UI"/>
          <w:b w:val="0"/>
          <w:bCs w:val="0"/>
          <w:i w:val="0"/>
          <w:iCs w:val="0"/>
          <w:noProof w:val="0"/>
          <w:sz w:val="21"/>
          <w:szCs w:val="21"/>
          <w:lang w:val="en-US"/>
        </w:rPr>
        <w:t xml:space="preserve"> </w:t>
      </w:r>
      <w:r w:rsidRPr="467C89A6" w:rsidR="726BF74B">
        <w:rPr>
          <w:rFonts w:ascii="Segoe UI" w:hAnsi="Segoe UI" w:eastAsia="Segoe UI" w:cs="Segoe UI"/>
          <w:b w:val="0"/>
          <w:bCs w:val="0"/>
          <w:i w:val="1"/>
          <w:iCs w:val="1"/>
          <w:noProof w:val="0"/>
          <w:sz w:val="21"/>
          <w:szCs w:val="21"/>
          <w:lang w:val="en-US"/>
        </w:rPr>
        <w:t>CTO</w:t>
      </w:r>
      <w:r w:rsidRPr="467C89A6" w:rsidR="726BF74B">
        <w:rPr>
          <w:rFonts w:ascii="Segoe UI" w:hAnsi="Segoe UI" w:eastAsia="Segoe UI" w:cs="Segoe UI"/>
          <w:b w:val="0"/>
          <w:bCs w:val="0"/>
          <w:i w:val="0"/>
          <w:iCs w:val="0"/>
          <w:noProof w:val="0"/>
          <w:sz w:val="21"/>
          <w:szCs w:val="21"/>
          <w:lang w:val="en-US"/>
        </w:rPr>
        <w:t xml:space="preserve"> to revise the 2006–2007 capital expenditure budget to incorporate the network expansion needs of the new markets (e.g. initial investments to upgrade network quality in West and Central Africa, and Middle East operations). Present the updated budget for Board review in the next meeting.</w:t>
      </w:r>
    </w:p>
    <w:p w:rsidR="00C4701E" w:rsidP="467C89A6" w:rsidRDefault="00C4701E" w14:paraId="48897EFE" w14:textId="71A70D7A">
      <w:pPr>
        <w:spacing w:before="0" w:beforeAutospacing="off" w:after="0" w:afterAutospacing="off" w:line="300" w:lineRule="auto"/>
      </w:pPr>
      <w:r w:rsidRPr="467C89A6" w:rsidR="726BF74B">
        <w:rPr>
          <w:rFonts w:ascii="Segoe UI" w:hAnsi="Segoe UI" w:eastAsia="Segoe UI" w:cs="Segoe UI"/>
          <w:b w:val="1"/>
          <w:bCs w:val="1"/>
          <w:i w:val="0"/>
          <w:iCs w:val="0"/>
          <w:noProof w:val="0"/>
          <w:sz w:val="21"/>
          <w:szCs w:val="21"/>
          <w:lang w:val="en-US"/>
        </w:rPr>
        <w:t>Next Steps:</w:t>
      </w:r>
    </w:p>
    <w:p w:rsidR="00C4701E" w:rsidP="467C89A6" w:rsidRDefault="00C4701E" w14:paraId="28D57FDD" w14:textId="18B07588">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26BF74B">
        <w:rPr>
          <w:rFonts w:ascii="Segoe UI" w:hAnsi="Segoe UI" w:eastAsia="Segoe UI" w:cs="Segoe UI"/>
          <w:b w:val="0"/>
          <w:bCs w:val="0"/>
          <w:i w:val="0"/>
          <w:iCs w:val="0"/>
          <w:noProof w:val="0"/>
          <w:sz w:val="21"/>
          <w:szCs w:val="21"/>
          <w:lang w:val="en-US"/>
        </w:rPr>
        <w:t xml:space="preserve">Finalize the Investcom transaction by </w:t>
      </w:r>
      <w:r w:rsidRPr="467C89A6" w:rsidR="726BF74B">
        <w:rPr>
          <w:rFonts w:ascii="Segoe UI" w:hAnsi="Segoe UI" w:eastAsia="Segoe UI" w:cs="Segoe UI"/>
          <w:b w:val="1"/>
          <w:bCs w:val="1"/>
          <w:i w:val="0"/>
          <w:iCs w:val="0"/>
          <w:noProof w:val="0"/>
          <w:sz w:val="21"/>
          <w:szCs w:val="21"/>
          <w:lang w:val="en-US"/>
        </w:rPr>
        <w:t>May 2006</w:t>
      </w:r>
      <w:r w:rsidRPr="467C89A6" w:rsidR="726BF74B">
        <w:rPr>
          <w:rFonts w:ascii="Segoe UI" w:hAnsi="Segoe UI" w:eastAsia="Segoe UI" w:cs="Segoe UI"/>
          <w:b w:val="0"/>
          <w:bCs w:val="0"/>
          <w:i w:val="0"/>
          <w:iCs w:val="0"/>
          <w:noProof w:val="0"/>
          <w:sz w:val="21"/>
          <w:szCs w:val="21"/>
          <w:lang w:val="en-US"/>
        </w:rPr>
        <w:t xml:space="preserve">, pending regulatory approvals, with legal closing expected by end of Q2 2006. </w:t>
      </w:r>
      <w:hyperlink r:id="R976e80d4dee0490c">
        <w:r w:rsidRPr="467C89A6" w:rsidR="726BF74B">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126D0191" w14:textId="029EB1CE">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67C89A6" w:rsidR="726BF74B">
        <w:rPr>
          <w:rFonts w:ascii="Segoe UI" w:hAnsi="Segoe UI" w:eastAsia="Segoe UI" w:cs="Segoe UI"/>
          <w:b w:val="0"/>
          <w:bCs w:val="0"/>
          <w:i w:val="0"/>
          <w:iCs w:val="0"/>
          <w:noProof w:val="0"/>
          <w:sz w:val="21"/>
          <w:szCs w:val="21"/>
          <w:lang w:val="en-US"/>
        </w:rPr>
        <w:t>On closing, organize a special Board meeting to formally welcome new markets into MTN Group and review the first 100-day post-merger integration plan.</w:t>
      </w:r>
    </w:p>
    <w:p w:rsidR="00C4701E" w:rsidP="467C89A6" w:rsidRDefault="00C4701E" w14:paraId="099646CE" w14:textId="3503C214">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467C89A6" w:rsidR="726BF74B">
        <w:rPr>
          <w:rFonts w:ascii="Segoe UI" w:hAnsi="Segoe UI" w:eastAsia="Segoe UI" w:cs="Segoe UI"/>
          <w:b w:val="0"/>
          <w:bCs w:val="0"/>
          <w:i w:val="0"/>
          <w:iCs w:val="0"/>
          <w:noProof w:val="0"/>
          <w:sz w:val="21"/>
          <w:szCs w:val="21"/>
          <w:lang w:val="en-US"/>
        </w:rPr>
        <w:t xml:space="preserve">Monitor competitor reactions in key markets. (Management noted that regional rivals like </w:t>
      </w:r>
      <w:r w:rsidRPr="467C89A6" w:rsidR="726BF74B">
        <w:rPr>
          <w:rFonts w:ascii="Segoe UI" w:hAnsi="Segoe UI" w:eastAsia="Segoe UI" w:cs="Segoe UI"/>
          <w:b w:val="0"/>
          <w:bCs w:val="0"/>
          <w:i w:val="1"/>
          <w:iCs w:val="1"/>
          <w:noProof w:val="0"/>
          <w:sz w:val="21"/>
          <w:szCs w:val="21"/>
          <w:lang w:val="en-US"/>
        </w:rPr>
        <w:t>Vodacom, Orascom,</w:t>
      </w:r>
      <w:r w:rsidRPr="467C89A6" w:rsidR="726BF74B">
        <w:rPr>
          <w:rFonts w:ascii="Segoe UI" w:hAnsi="Segoe UI" w:eastAsia="Segoe UI" w:cs="Segoe UI"/>
          <w:b w:val="0"/>
          <w:bCs w:val="0"/>
          <w:i w:val="0"/>
          <w:iCs w:val="0"/>
          <w:noProof w:val="0"/>
          <w:sz w:val="21"/>
          <w:szCs w:val="21"/>
          <w:lang w:val="en-US"/>
        </w:rPr>
        <w:t xml:space="preserve"> and </w:t>
      </w:r>
      <w:r w:rsidRPr="467C89A6" w:rsidR="726BF74B">
        <w:rPr>
          <w:rFonts w:ascii="Segoe UI" w:hAnsi="Segoe UI" w:eastAsia="Segoe UI" w:cs="Segoe UI"/>
          <w:b w:val="0"/>
          <w:bCs w:val="0"/>
          <w:i w:val="1"/>
          <w:iCs w:val="1"/>
          <w:noProof w:val="0"/>
          <w:sz w:val="21"/>
          <w:szCs w:val="21"/>
          <w:lang w:val="en-US"/>
        </w:rPr>
        <w:t>Zain/MTC Celtel</w:t>
      </w:r>
      <w:r w:rsidRPr="467C89A6" w:rsidR="726BF74B">
        <w:rPr>
          <w:rFonts w:ascii="Segoe UI" w:hAnsi="Segoe UI" w:eastAsia="Segoe UI" w:cs="Segoe UI"/>
          <w:b w:val="0"/>
          <w:bCs w:val="0"/>
          <w:i w:val="0"/>
          <w:iCs w:val="0"/>
          <w:noProof w:val="0"/>
          <w:sz w:val="21"/>
          <w:szCs w:val="21"/>
          <w:lang w:val="en-US"/>
        </w:rPr>
        <w:t xml:space="preserve"> were also pursuing expansions. The Board will keep an eye on any competitive responses, such as new bids or promotional wars in the affected regions.) </w:t>
      </w:r>
      <w:hyperlink r:id="R161d44f3efbe429b">
        <w:r w:rsidRPr="467C89A6" w:rsidR="726BF74B">
          <w:rPr>
            <w:rStyle w:val="Hyperlink"/>
            <w:rFonts w:ascii="Segoe UI" w:hAnsi="Segoe UI" w:eastAsia="Segoe UI" w:cs="Segoe UI"/>
            <w:b w:val="0"/>
            <w:bCs w:val="0"/>
            <w:i w:val="0"/>
            <w:iCs w:val="0"/>
            <w:strike w:val="0"/>
            <w:dstrike w:val="0"/>
            <w:noProof w:val="0"/>
            <w:color w:val="464FEB"/>
            <w:sz w:val="21"/>
            <w:szCs w:val="21"/>
            <w:u w:val="none"/>
            <w:lang w:val="en-US"/>
          </w:rPr>
          <w:t>[spglobal.com]</w:t>
        </w:r>
      </w:hyperlink>
    </w:p>
    <w:p w:rsidR="00C4701E" w:rsidP="467C89A6" w:rsidRDefault="00C4701E" w14:paraId="129B957F" w14:textId="52573BBB">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67C89A6" w:rsidR="726BF74B">
        <w:rPr>
          <w:rFonts w:ascii="Segoe UI" w:hAnsi="Segoe UI" w:eastAsia="Segoe UI" w:cs="Segoe UI"/>
          <w:b w:val="0"/>
          <w:bCs w:val="0"/>
          <w:i w:val="0"/>
          <w:iCs w:val="0"/>
          <w:noProof w:val="0"/>
          <w:sz w:val="21"/>
          <w:szCs w:val="21"/>
          <w:lang w:val="en-US"/>
        </w:rPr>
        <w:t>Board to receive quarterly progress reports on subscriber growth and financial performance in the newly acquired operations, ensuring the acquisition delivers the projected value and synergies.</w:t>
      </w:r>
    </w:p>
    <w:p w:rsidR="00C4701E" w:rsidRDefault="00C4701E" w14:paraId="2C078E63" w14:textId="7A4E3738"/>
    <w:sectPr w:rsidR="00C4701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18fb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27f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a31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57a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cd9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4F0C7B"/>
    <w:rsid w:val="001C4D96"/>
    <w:rsid w:val="00C4701E"/>
    <w:rsid w:val="1BBAC8D3"/>
    <w:rsid w:val="2865D8C1"/>
    <w:rsid w:val="467C89A6"/>
    <w:rsid w:val="694F0C7B"/>
    <w:rsid w:val="71E73482"/>
    <w:rsid w:val="726BF74B"/>
    <w:rsid w:val="748C2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F0C7B"/>
  <w15:chartTrackingRefBased/>
  <w15:docId w15:val="{13D7D94E-E08B-4E77-AEC2-7E7B56DA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48C21C4"/>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48C21C4"/>
    <w:pPr>
      <w:spacing/>
      <w:ind w:left="720"/>
      <w:contextualSpacing/>
    </w:pPr>
  </w:style>
  <w:style w:type="character" w:styleId="Hyperlink">
    <w:uiPriority w:val="99"/>
    <w:name w:val="Hyperlink"/>
    <w:basedOn w:val="DefaultParagraphFont"/>
    <w:unhideWhenUsed/>
    <w:rsid w:val="748C21C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spglobal.com/marketintelligence/en/mi/country-industry-forecasting.html?ID=106599400" TargetMode="External" Id="R4dac590d16a34c29" /><Relationship Type="http://schemas.openxmlformats.org/officeDocument/2006/relationships/hyperlink" Target="https://dailyinvestor.com/telecommunications/13991/30-years-of-mtn/" TargetMode="External" Id="Ra198de0b15184f0d" /><Relationship Type="http://schemas.openxmlformats.org/officeDocument/2006/relationships/hyperlink" Target="https://www.spglobal.com/marketintelligence/en/mi/country-industry-forecasting.html?ID=106599400" TargetMode="External" Id="Ra3b1729445244bbd" /><Relationship Type="http://schemas.openxmlformats.org/officeDocument/2006/relationships/hyperlink" Target="https://www.spglobal.com/marketintelligence/en/mi/country-industry-forecasting.html?ID=106599400" TargetMode="External" Id="R1c5e82a18aa542ed" /><Relationship Type="http://schemas.openxmlformats.org/officeDocument/2006/relationships/hyperlink" Target="https://www.spglobal.com/marketintelligence/en/mi/country-industry-forecasting.html?ID=106599400" TargetMode="External" Id="Rc7ec779d60e74618" /><Relationship Type="http://schemas.openxmlformats.org/officeDocument/2006/relationships/hyperlink" Target="https://www.spglobal.com/marketintelligence/en/mi/country-industry-forecasting.html?ID=106599400" TargetMode="External" Id="Rafc4969eec2b4107" /><Relationship Type="http://schemas.openxmlformats.org/officeDocument/2006/relationships/hyperlink" Target="https://www.spglobal.com/marketintelligence/en/mi/country-industry-forecasting.html?ID=106599400" TargetMode="External" Id="Rcf39d561079d4900" /><Relationship Type="http://schemas.openxmlformats.org/officeDocument/2006/relationships/numbering" Target="numbering.xml" Id="R5b0b8bce4e3046b8" /><Relationship Type="http://schemas.openxmlformats.org/officeDocument/2006/relationships/hyperlink" Target="https://www.spglobal.com/marketintelligence/en/mi/country-industry-forecasting.html?ID=106599400" TargetMode="External" Id="Rff1792532d914b50" /><Relationship Type="http://schemas.openxmlformats.org/officeDocument/2006/relationships/hyperlink" Target="https://www.spglobal.com/marketintelligence/en/mi/country-industry-forecasting.html?ID=106599400" TargetMode="External" Id="Rd79f364d6e0e41cd" /><Relationship Type="http://schemas.openxmlformats.org/officeDocument/2006/relationships/hyperlink" Target="https://www.spglobal.com/marketintelligence/en/mi/country-industry-forecasting.html?ID=106599400" TargetMode="External" Id="R39195affa99f4363" /><Relationship Type="http://schemas.openxmlformats.org/officeDocument/2006/relationships/hyperlink" Target="https://www.spglobal.com/marketintelligence/en/mi/country-industry-forecasting.html?ID=106599400" TargetMode="External" Id="R2ee42bd15a114ca0" /><Relationship Type="http://schemas.openxmlformats.org/officeDocument/2006/relationships/hyperlink" Target="https://www.spglobal.com/marketintelligence/en/mi/country-industry-forecasting.html?ID=106599400" TargetMode="External" Id="Rce80c35679914889" /><Relationship Type="http://schemas.openxmlformats.org/officeDocument/2006/relationships/hyperlink" Target="https://www.spglobal.com/marketintelligence/en/mi/country-industry-forecasting.html?ID=106599400" TargetMode="External" Id="R976e80d4dee0490c" /><Relationship Type="http://schemas.openxmlformats.org/officeDocument/2006/relationships/hyperlink" Target="https://www.spglobal.com/marketintelligence/en/mi/country-industry-forecasting.html?ID=106599400" TargetMode="External" Id="R161d44f3efbe429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962AD42-6CF1-4611-B242-AFADA688E342}">
  <ds:schemaRefs>
    <ds:schemaRef ds:uri="http://schemas.microsoft.com/sharepoint/v3/contenttype/forms"/>
  </ds:schemaRefs>
</ds:datastoreItem>
</file>

<file path=customXml/itemProps2.xml><?xml version="1.0" encoding="utf-8"?>
<ds:datastoreItem xmlns:ds="http://schemas.openxmlformats.org/officeDocument/2006/customXml" ds:itemID="{593BB1EC-79DD-44AC-9651-D6298574C731}"/>
</file>

<file path=customXml/itemProps3.xml><?xml version="1.0" encoding="utf-8"?>
<ds:datastoreItem xmlns:ds="http://schemas.openxmlformats.org/officeDocument/2006/customXml" ds:itemID="{E4B22DC8-9CF7-49A7-A9FC-8B8F66AB3B2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Shafee Khan</dc:creator>
  <keywords/>
  <dc:description/>
  <lastModifiedBy>Shafee Khan</lastModifiedBy>
  <revision>3</revision>
  <dcterms:created xsi:type="dcterms:W3CDTF">2026-03-10T09:03:00.0000000Z</dcterms:created>
  <dcterms:modified xsi:type="dcterms:W3CDTF">2026-03-10T09:34:42.7805728Z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