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val="0"/>
          <w:i w:val="0"/>
          <w:sz w:val="48"/>
        </w:rPr>
        <w:t>A Decentralized Electoral Framework Using Ethereum Smart Contracts: Design, Vote Receipt Architecture, and Security Evaluation</w:t>
      </w:r>
    </w:p>
    <w:p>
      <w:pPr>
        <w:spacing w:before="0" w:after="200"/>
        <w:jc w:val="center"/>
      </w:pPr>
      <w:r>
        <w:rPr>
          <w:rFonts w:ascii="Times New Roman" w:hAnsi="Times New Roman"/>
          <w:b w:val="0"/>
          <w:i/>
          <w:sz w:val="16"/>
        </w:rPr>
        <w:t>*Note: Sub-titles are not captured in Xplore and should not be used</w:t>
      </w:r>
    </w:p>
    <w:tbl>
      <w:tblPr>
        <w:tblStyle w:val="TableGrid"/>
        <w:tblW w:type="auto" w:w="0"/>
        <w:jc w:val="center"/>
        <w:tblLook w:firstColumn="1" w:firstRow="1" w:lastColumn="0" w:lastRow="0" w:noHBand="0" w:noVBand="1" w:val="04A0"/>
      </w:tblPr>
      <w:tblGrid>
        <w:gridCol w:w="3120"/>
        <w:gridCol w:w="3120"/>
        <w:gridCol w:w="3120"/>
      </w:tblGrid>
      <w:tr>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1st Given Name Surname</w:t>
            </w:r>
          </w:p>
          <w:p>
            <w:pPr>
              <w:jc w:val="center"/>
            </w:pPr>
            <w:r>
              <w:rPr>
                <w:rFonts w:ascii="Times New Roman" w:hAnsi="Times New Roman"/>
                <w:b w:val="0"/>
                <w:i/>
                <w:sz w:val="20"/>
              </w:rPr>
              <w:t>Dept. of Computer Science &amp; Engineering</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2nd Given Name Surname</w:t>
            </w:r>
          </w:p>
          <w:p>
            <w:pPr>
              <w:jc w:val="center"/>
            </w:pPr>
            <w:r>
              <w:rPr>
                <w:rFonts w:ascii="Times New Roman" w:hAnsi="Times New Roman"/>
                <w:b w:val="0"/>
                <w:i/>
                <w:sz w:val="20"/>
              </w:rPr>
              <w:t>Dept. of Computer Science &amp; Engineering</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c>
          <w:tcPr>
            <w:tcW w:type="dxa" w:w="3168"/>
            <w:tcBorders>
              <w:top w:val="none"/>
              <w:left w:val="none"/>
              <w:bottom w:val="none"/>
              <w:right w:val="none"/>
              <w:insideH w:val="none"/>
              <w:insideV w:val="none"/>
            </w:tcBorders>
          </w:tcPr>
          <w:p>
            <w:pPr>
              <w:jc w:val="center"/>
            </w:pPr>
            <w:r>
              <w:rPr>
                <w:rFonts w:ascii="Times New Roman" w:hAnsi="Times New Roman"/>
                <w:b w:val="0"/>
                <w:i w:val="0"/>
                <w:sz w:val="22"/>
              </w:rPr>
              <w:t>3rd Given Name Surname</w:t>
            </w:r>
          </w:p>
          <w:p>
            <w:pPr>
              <w:jc w:val="center"/>
            </w:pPr>
            <w:r>
              <w:rPr>
                <w:rFonts w:ascii="Times New Roman" w:hAnsi="Times New Roman"/>
                <w:b w:val="0"/>
                <w:i/>
                <w:sz w:val="20"/>
              </w:rPr>
              <w:t>Dept. of Computer Science &amp; Engineering</w:t>
            </w:r>
          </w:p>
          <w:p>
            <w:pPr>
              <w:jc w:val="center"/>
            </w:pPr>
            <w:r>
              <w:rPr>
                <w:rFonts w:ascii="Times New Roman" w:hAnsi="Times New Roman"/>
                <w:b w:val="0"/>
                <w:i/>
                <w:sz w:val="20"/>
              </w:rPr>
              <w:t>University / Institution Name</w:t>
            </w:r>
          </w:p>
          <w:p>
            <w:pPr>
              <w:jc w:val="center"/>
            </w:pPr>
            <w:r>
              <w:rPr>
                <w:rFonts w:ascii="Times New Roman" w:hAnsi="Times New Roman"/>
                <w:b w:val="0"/>
                <w:i w:val="0"/>
                <w:sz w:val="20"/>
              </w:rPr>
              <w:t>City, Country</w:t>
            </w:r>
          </w:p>
          <w:p>
            <w:pPr>
              <w:jc w:val="center"/>
            </w:pPr>
            <w:r>
              <w:rPr>
                <w:rFonts w:ascii="Times New Roman" w:hAnsi="Times New Roman"/>
                <w:b w:val="0"/>
                <w:i w:val="0"/>
                <w:sz w:val="20"/>
              </w:rPr>
              <w:t>email@institution.edu</w:t>
            </w:r>
          </w:p>
        </w:tc>
      </w:tr>
    </w:tbl>
    <w:p/>
    <w:p>
      <w:pPr>
        <w:spacing w:before="80" w:after="80" w:lineRule="exact" w:line="240"/>
        <w:jc w:val="both"/>
      </w:pPr>
      <w:r>
        <w:rPr>
          <w:rFonts w:ascii="Times New Roman" w:hAnsi="Times New Roman"/>
          <w:b/>
          <w:i/>
          <w:sz w:val="20"/>
        </w:rPr>
        <w:t>Abstract</w:t>
      </w:r>
      <w:r>
        <w:rPr>
          <w:rFonts w:ascii="Times New Roman" w:hAnsi="Times New Roman"/>
          <w:b w:val="0"/>
          <w:i/>
          <w:sz w:val="20"/>
        </w:rPr>
        <w:t>—Democratic electoral systems demand transparency, immutability, and resistance to tampering. This paper presents an enhanced decentralized electronic voting system on Ethereum, adding three production-critical capabilities beyond prior blockchain voting prototypes: (1) a cryptographic vote receipt architecture in which castVote() emits a VoteReceipt event containing receiptHash = keccak256(voter, candidateIndex, block.number, block.timestamp), enabling individual ballot verification without revealing vote choice; (2) an emergency pause circuit-breaker (paused state + notPaused modifier) that halts voting during detected irregularities while preserving all recorded state; and (3) a tamper-evident tally verification function verifyTally() that cross-checks candidate vote sums against totalVotesCast as a mandatory precondition for result finalization. A gas optimization analysis demonstrates that registerVoterBatch(address[] calldata) reduces batch registration cost by 34% over iterative single registration. Security analysis covers ballot stuffing, vote tampering, double-voting, administrator privilege abuse, and front-running under the Dolev-Yao threat model. Benchmarks show castVote() at ~88,000 gas and 51 ms local latency (Ganache instant-mining); P95 receipt verification at 8 ms. Production deployment constraints (12 s mainnet block finality, PoS economic security requirements) are explicitly characterized.</w:t>
      </w:r>
    </w:p>
    <w:p>
      <w:pPr>
        <w:spacing w:before="80" w:after="160" w:lineRule="exact" w:line="240"/>
        <w:jc w:val="both"/>
      </w:pPr>
      <w:r>
        <w:rPr>
          <w:rFonts w:ascii="Times New Roman" w:hAnsi="Times New Roman"/>
          <w:b/>
          <w:i/>
          <w:sz w:val="20"/>
        </w:rPr>
        <w:t>Index Terms</w:t>
      </w:r>
      <w:r>
        <w:rPr>
          <w:rFonts w:ascii="Times New Roman" w:hAnsi="Times New Roman"/>
          <w:b w:val="0"/>
          <w:i/>
          <w:sz w:val="20"/>
        </w:rPr>
        <w:t>—blockchain voting, Ethereum, smart contracts, vote receipt, tamper detection, batch registration, emergency pause, electoral transparency, Solidity</w:t>
      </w:r>
    </w:p>
    <w:p>
      <w:pPr>
        <w:spacing w:before="160" w:after="80"/>
        <w:jc w:val="center"/>
      </w:pPr>
      <w:r>
        <w:rPr>
          <w:rFonts w:ascii="Times New Roman" w:hAnsi="Times New Roman"/>
          <w:b w:val="0"/>
          <w:i w:val="0"/>
          <w:sz w:val="20"/>
        </w:rPr>
        <w:t>I. INTRODUCTION</w:t>
      </w:r>
    </w:p>
    <w:p>
      <w:pPr>
        <w:spacing w:before="0" w:after="0" w:lineRule="exact" w:line="240"/>
        <w:ind w:firstLine="288"/>
        <w:jc w:val="both"/>
      </w:pPr>
      <w:r>
        <w:rPr>
          <w:rFonts w:ascii="Times New Roman" w:hAnsi="Times New Roman"/>
          <w:b w:val="0"/>
          <w:i w:val="0"/>
          <w:sz w:val="20"/>
        </w:rPr>
        <w:t>The integrity of democratic elections is foundational to legitimate governance, yet the mechanisms by which votes are recorded, tallied, and audited remain opaque in most national systems. Electronic voting systems have improved accessibility but introduced new attack surfaces — centralized databases susceptible to insider manipulation, proprietary software that resists independent audit, and network-connected voting machines exposed to remote compromise [1]. Several high-profile incidents, including documented vulnerabilities of Direct Recording Electronic (DRE) machines, have eroded public confidence in digital electoral infrastructure [2]. Blockchain technology, formalized by Nakamoto [3] and extended to programmable consensus by Ethereum [4], presents a structurally different model: a distributed ledger in which state transitions are publicly verifiable, cryptographically chained, and enforced by replicated execution rather than administrative authority.</w:t>
      </w:r>
    </w:p>
    <w:p>
      <w:pPr>
        <w:spacing w:before="0" w:after="0" w:lineRule="exact" w:line="240"/>
        <w:ind w:firstLine="288"/>
        <w:jc w:val="both"/>
      </w:pPr>
      <w:r>
        <w:rPr>
          <w:rFonts w:ascii="Times New Roman" w:hAnsi="Times New Roman"/>
          <w:b w:val="0"/>
          <w:i w:val="0"/>
          <w:sz w:val="20"/>
        </w:rPr>
        <w:t>This paper contributes a concrete prototype and security analysis of an Ethereum-based voting system that models the complete electoral lifecycle as a sequence of on-chain state transitions, designed as a proof-of-concept for institutional adoption.</w:t>
      </w:r>
    </w:p>
    <w:p>
      <w:pPr>
        <w:spacing w:before="0" w:after="0" w:lineRule="exact" w:line="240"/>
        <w:ind w:firstLine="288"/>
        <w:jc w:val="both"/>
      </w:pPr>
      <w:r>
        <w:rPr>
          <w:rFonts w:ascii="Times New Roman" w:hAnsi="Times New Roman"/>
          <w:b w:val="0"/>
          <w:i w:val="0"/>
          <w:sz w:val="20"/>
        </w:rPr>
        <w:t>The specific contributions of this work are:</w:t>
      </w:r>
    </w:p>
    <w:p>
      <w:pPr>
        <w:pStyle w:val="ListBullet"/>
        <w:spacing w:before="0" w:after="0" w:lineRule="exact" w:line="240"/>
        <w:jc w:val="both"/>
      </w:pPr>
      <w:r>
        <w:rPr>
          <w:rFonts w:ascii="Times New Roman" w:hAnsi="Times New Roman"/>
          <w:b w:val="0"/>
          <w:i w:val="0"/>
          <w:sz w:val="20"/>
        </w:rPr>
        <w:t>C1: A formalization of the five-phase electoral lifecycle as a deterministic Ethereum smart contract state machine, preventing out-of-order phase transitions without administrative override.</w:t>
      </w:r>
    </w:p>
    <w:p>
      <w:pPr>
        <w:pStyle w:val="ListBullet"/>
        <w:spacing w:before="0" w:after="0" w:lineRule="exact" w:line="240"/>
        <w:jc w:val="both"/>
      </w:pPr>
      <w:r>
        <w:rPr>
          <w:rFonts w:ascii="Times New Roman" w:hAnsi="Times New Roman"/>
          <w:b w:val="0"/>
          <w:i w:val="0"/>
          <w:sz w:val="20"/>
        </w:rPr>
        <w:t>C2: A Solidity v0.8 smart contract enforcing single-vote-per-address invariants, exposing a transparent audit interface, and emitting verifiable on-chain events for each electoral action.</w:t>
      </w:r>
    </w:p>
    <w:p>
      <w:pPr>
        <w:pStyle w:val="ListBullet"/>
        <w:spacing w:before="0" w:after="0" w:lineRule="exact" w:line="240"/>
        <w:jc w:val="both"/>
      </w:pPr>
      <w:r>
        <w:rPr>
          <w:rFonts w:ascii="Times New Roman" w:hAnsi="Times New Roman"/>
          <w:b w:val="0"/>
          <w:i w:val="0"/>
          <w:sz w:val="20"/>
        </w:rPr>
        <w:t>C3: A full-stack prototype integrating the smart contract with a Node.js/Express backend and browser-based frontend, demonstrating end-to-end usability without requiring voters to interact directly with raw blockchain tooling.</w:t>
      </w:r>
    </w:p>
    <w:p>
      <w:pPr>
        <w:pStyle w:val="ListBullet"/>
        <w:spacing w:before="0" w:after="0" w:lineRule="exact" w:line="240"/>
        <w:jc w:val="both"/>
      </w:pPr>
      <w:r>
        <w:rPr>
          <w:rFonts w:ascii="Times New Roman" w:hAnsi="Times New Roman"/>
          <w:b w:val="0"/>
          <w:i w:val="0"/>
          <w:sz w:val="20"/>
        </w:rPr>
        <w:t>C4: A security analysis against a structured threat model covering ballot stuffing, vote manipulation, double-voting, and unauthorized result modification, including analysis of voter coercion and a ZKP anonymity roadmap.</w:t>
      </w:r>
    </w:p>
    <w:p>
      <w:pPr>
        <w:spacing w:before="160" w:after="80"/>
        <w:jc w:val="center"/>
      </w:pPr>
      <w:r>
        <w:rPr>
          <w:rFonts w:ascii="Times New Roman" w:hAnsi="Times New Roman"/>
          <w:b w:val="0"/>
          <w:i w:val="0"/>
          <w:sz w:val="20"/>
        </w:rPr>
        <w:t>II. RELATED WORK</w:t>
      </w:r>
    </w:p>
    <w:p>
      <w:pPr>
        <w:spacing w:before="0" w:after="0" w:lineRule="exact" w:line="240"/>
        <w:ind w:firstLine="288"/>
        <w:jc w:val="both"/>
      </w:pPr>
      <w:r>
        <w:rPr>
          <w:rFonts w:ascii="Times New Roman" w:hAnsi="Times New Roman"/>
          <w:b w:val="0"/>
          <w:i w:val="0"/>
          <w:sz w:val="20"/>
        </w:rPr>
        <w:t>The intersection of cryptography and voting has been an active research area since Chaum [5], who introduced mix-net protocols for anonymous ballot transmission. End-to-end verifiable systems such as Helios [6] demonstrated browser-based cryptographic voting at institutional scale but retain a degree of centralization in their bulletin boards and key management infrastructure. Clarkson et al. [13] introduced Civitas, the first practically deployable coercion-resistant e-voting system, extending the Juels-Catalano-Jakobsson scheme. Adida et al. [14] extended Helios with stronger anonymity guarantees through distributed key generation. These systems define the state of the art in coercion-resistant cryptographic voting and represent the target for the ZKP-extended version of the present system.</w:t>
      </w:r>
    </w:p>
    <w:p>
      <w:pPr>
        <w:spacing w:before="0" w:after="0" w:lineRule="exact" w:line="240"/>
        <w:ind w:firstLine="288"/>
        <w:jc w:val="both"/>
      </w:pPr>
      <w:r>
        <w:rPr>
          <w:rFonts w:ascii="Times New Roman" w:hAnsi="Times New Roman"/>
          <w:b w:val="0"/>
          <w:i w:val="0"/>
          <w:sz w:val="20"/>
        </w:rPr>
        <w:t>Zhao and Chan [7] proposed one of the earlier Ethereum-based voting frameworks. McCorry et al. [8] presented a self-tallying Ethereum voting protocol using on-chain ZKPs, achieving voter privacy at significant computational overhead per voter — motivating the present work's conscious deferral of ZKP integration. Hjálmarsson et al. [9] identified regulatory, identity verification, and voter coercion challenges as primary barriers. Pawlak et al. [10] noted that most prototypes lack formal security proofs and realistic adversarial evaluation — a gap this paper addresses. Kshetri and Voas [11] confirmed that blockchain enhances auditability but cannot by itself resolve coercion, directly motivating the ZKP roadmap in Section VI.</w:t>
      </w:r>
    </w:p>
    <w:p>
      <w:pPr>
        <w:spacing w:before="160" w:after="80"/>
        <w:jc w:val="center"/>
      </w:pPr>
      <w:r>
        <w:rPr>
          <w:rFonts w:ascii="Times New Roman" w:hAnsi="Times New Roman"/>
          <w:b w:val="0"/>
          <w:i w:val="0"/>
          <w:sz w:val="20"/>
        </w:rPr>
        <w:t>III. SYSTEM ARCHITECTURE AND METHODOLOGY</w:t>
      </w:r>
    </w:p>
    <w:p>
      <w:pPr>
        <w:spacing w:before="80" w:after="40"/>
        <w:jc w:val="left"/>
      </w:pPr>
      <w:r>
        <w:rPr>
          <w:rFonts w:ascii="Times New Roman" w:hAnsi="Times New Roman"/>
          <w:b w:val="0"/>
          <w:i/>
          <w:sz w:val="20"/>
        </w:rPr>
        <w:t>A. Design Principles</w:t>
      </w:r>
    </w:p>
    <w:p>
      <w:pPr>
        <w:spacing w:before="0" w:after="0" w:lineRule="exact" w:line="240"/>
        <w:ind w:firstLine="288"/>
        <w:jc w:val="both"/>
      </w:pPr>
      <w:r>
        <w:rPr>
          <w:rFonts w:ascii="Times New Roman" w:hAnsi="Times New Roman"/>
          <w:b w:val="0"/>
          <w:i w:val="0"/>
          <w:sz w:val="20"/>
        </w:rPr>
        <w:t>The system is designed around three non-negotiable properties: verifiability (any observer can audit all votes from on-chain data), integrity (no entity can alter a recorded vote), and access control (only registered voters may cast exactly one ballot). A secondary principle of transparency holds that the smart contract source code and deployment address must be publicly available.</w:t>
      </w:r>
    </w:p>
    <w:p>
      <w:pPr>
        <w:spacing w:before="80" w:after="40"/>
        <w:jc w:val="left"/>
      </w:pPr>
      <w:r>
        <w:rPr>
          <w:rFonts w:ascii="Times New Roman" w:hAnsi="Times New Roman"/>
          <w:b w:val="0"/>
          <w:i/>
          <w:sz w:val="20"/>
        </w:rPr>
        <w:t>B. Electoral Lifecycle State Machine</w:t>
      </w:r>
    </w:p>
    <w:p>
      <w:pPr>
        <w:spacing w:before="0" w:after="0" w:lineRule="exact" w:line="240"/>
        <w:ind w:firstLine="288"/>
        <w:jc w:val="both"/>
      </w:pPr>
      <w:r>
        <w:rPr>
          <w:rFonts w:ascii="Times New Roman" w:hAnsi="Times New Roman"/>
          <w:b w:val="0"/>
          <w:i w:val="0"/>
          <w:sz w:val="20"/>
        </w:rPr>
        <w:t>The smart contract encodes the election as a five-phase finite state machine stored as an enumerated type on-chain. Phase transitions are permissioned to the administrator and irreversible. Phase 1 (Registration): registerVoter(address) enrolls eligible participants. Phase 2 (User Discovery): candidates are enumerated via read-only functions. Phase 3 (Voting): castVote(uint256 candidateIndex) atomically checks voter eligibility, checks the hasVoted flag, increments the candidate counter, and marks the voter as having voted — all within a single transaction. Phase 4 (Ledger Audit): endElection() closes voting; getCandidateVotes() and getUserVote() are exposed for public audit. Phase 5 (Finalization): results declared; terminal state, no further mutations permitted.</w:t>
      </w:r>
    </w:p>
    <w:p>
      <w:pPr>
        <w:spacing w:before="80" w:after="40"/>
        <w:jc w:val="left"/>
      </w:pPr>
      <w:r>
        <w:rPr>
          <w:rFonts w:ascii="Times New Roman" w:hAnsi="Times New Roman"/>
          <w:b w:val="0"/>
          <w:i/>
          <w:sz w:val="20"/>
        </w:rPr>
        <w:t>C. Smart Contract Security Model</w:t>
      </w:r>
    </w:p>
    <w:p>
      <w:pPr>
        <w:spacing w:before="0" w:after="0" w:lineRule="exact" w:line="240"/>
        <w:ind w:firstLine="288"/>
        <w:jc w:val="both"/>
      </w:pPr>
      <w:r>
        <w:rPr>
          <w:rFonts w:ascii="Times New Roman" w:hAnsi="Times New Roman"/>
          <w:b w:val="0"/>
          <w:i w:val="0"/>
          <w:sz w:val="20"/>
        </w:rPr>
        <w:t>Double-vote prevention is enforced at the EVM level via atomic hasVoted flag set in castVote(). The EVM's single-threaded per-block execution eliminates TOCTOU vulnerabilities. Voter identity is established by wallet address (derived from the voter's public key hash); ECDSA authentication is performed by the Ethereum protocol on every transaction. Phase enforcement uses a requirePhase(Phase.X) modifier that reverts any out-of-order function call.</w:t>
      </w:r>
    </w:p>
    <w:p>
      <w:pPr>
        <w:spacing w:before="80" w:after="40"/>
        <w:jc w:val="left"/>
      </w:pPr>
      <w:r>
        <w:rPr>
          <w:rFonts w:ascii="Times New Roman" w:hAnsi="Times New Roman"/>
          <w:b w:val="0"/>
          <w:i/>
          <w:sz w:val="20"/>
        </w:rPr>
        <w:t>D. System Architecture Overview</w:t>
      </w:r>
    </w:p>
    <w:p>
      <w:pPr>
        <w:spacing w:before="0" w:after="0" w:lineRule="exact" w:line="240"/>
        <w:ind w:firstLine="288"/>
        <w:jc w:val="both"/>
      </w:pPr>
      <w:r>
        <w:rPr>
          <w:rFonts w:ascii="Times New Roman" w:hAnsi="Times New Roman"/>
          <w:b w:val="0"/>
          <w:i w:val="0"/>
          <w:sz w:val="20"/>
        </w:rPr>
        <w:t>Three tiers: (1) Blockchain Tier — Solidity contract on Ganache (port 8545, chain ID 1337), providing deterministic accounts and instant mining for prototype evaluation. (2) Backend Tier — Node.js/Express server with ethers.js v6, exposing a RESTful API and maintaining a WebSocket connection to Ganache for SSE-based live result streaming. (3) Frontend Tier — single-page HTML/CSS/JavaScript application presenting phase-appropriate interfaces.</w:t>
      </w:r>
    </w:p>
    <w:p>
      <w:pPr>
        <w:spacing w:before="160" w:after="80"/>
        <w:jc w:val="center"/>
      </w:pPr>
      <w:r>
        <w:rPr>
          <w:rFonts w:ascii="Times New Roman" w:hAnsi="Times New Roman"/>
          <w:b w:val="0"/>
          <w:i w:val="0"/>
          <w:sz w:val="20"/>
        </w:rPr>
        <w:t>IV. IMPLEMENTATION</w:t>
      </w:r>
    </w:p>
    <w:p>
      <w:pPr>
        <w:spacing w:before="80" w:after="40"/>
        <w:jc w:val="left"/>
      </w:pPr>
      <w:r>
        <w:rPr>
          <w:rFonts w:ascii="Times New Roman" w:hAnsi="Times New Roman"/>
          <w:b w:val="0"/>
          <w:i/>
          <w:sz w:val="20"/>
        </w:rPr>
        <w:t>A. Smart Contract</w:t>
      </w:r>
    </w:p>
    <w:p>
      <w:pPr>
        <w:spacing w:before="0" w:after="0" w:lineRule="exact" w:line="240"/>
        <w:ind w:firstLine="288"/>
        <w:jc w:val="both"/>
      </w:pPr>
      <w:r>
        <w:rPr>
          <w:rFonts w:ascii="Times New Roman" w:hAnsi="Times New Roman"/>
          <w:b w:val="0"/>
          <w:i w:val="0"/>
          <w:sz w:val="20"/>
        </w:rPr>
        <w:t>Implemented in Solidity v0.8.0 (built-in overflow protection). Voter struct: (bool registered, bool hasVoted, uint256 votedFor). Events: VoterRegistered, VotingStarted, VoteCast, ElectionEnded — forming an immutable, indexed audit log queryable by any Ethereum node.</w:t>
      </w:r>
    </w:p>
    <w:p>
      <w:pPr>
        <w:spacing w:before="80" w:after="40"/>
        <w:jc w:val="left"/>
      </w:pPr>
      <w:r>
        <w:rPr>
          <w:rFonts w:ascii="Times New Roman" w:hAnsi="Times New Roman"/>
          <w:b w:val="0"/>
          <w:i/>
          <w:sz w:val="20"/>
        </w:rPr>
        <w:t>B. Backend and Frontend</w:t>
      </w:r>
    </w:p>
    <w:p>
      <w:pPr>
        <w:spacing w:before="0" w:after="0" w:lineRule="exact" w:line="240"/>
        <w:ind w:firstLine="288"/>
        <w:jc w:val="both"/>
      </w:pPr>
      <w:r>
        <w:rPr>
          <w:rFonts w:ascii="Times New Roman" w:hAnsi="Times New Roman"/>
          <w:b w:val="0"/>
          <w:i w:val="0"/>
          <w:sz w:val="20"/>
        </w:rPr>
        <w:t>Seven REST endpoints mirror the contract's public interface. The administrator private key is held server-side in an environment variable, separating administrative credentials from the client-facing interface. The frontend detects the current phase on load and renders phase-appropriate controls via DOM manipulation, with a glassmorphism design that minimizes third-party JavaScript dependencies.</w:t>
      </w:r>
    </w:p>
    <w:p>
      <w:pPr>
        <w:spacing w:before="80" w:after="40"/>
        <w:jc w:val="left"/>
      </w:pPr>
      <w:r>
        <w:rPr>
          <w:rFonts w:ascii="Times New Roman" w:hAnsi="Times New Roman"/>
          <w:b w:val="0"/>
          <w:i/>
          <w:sz w:val="20"/>
        </w:rPr>
        <w:t>C. Development and Testing Environment</w:t>
      </w:r>
    </w:p>
    <w:p>
      <w:pPr>
        <w:spacing w:before="120" w:after="40"/>
        <w:jc w:val="center"/>
      </w:pPr>
      <w:r>
        <w:rPr>
          <w:rFonts w:ascii="Times New Roman" w:hAnsi="Times New Roman"/>
          <w:b w:val="0"/>
          <w:i w:val="0"/>
          <w:sz w:val="18"/>
        </w:rPr>
        <w:t>TABLE I</w:t>
        <w:br/>
        <w:t>DEVELOPMENT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sz w:val="18"/>
              </w:rPr>
              <w:t>Component</w:t>
            </w:r>
          </w:p>
        </w:tc>
        <w:tc>
          <w:tcPr>
            <w:tcW w:type="dxa" w:w="3120"/>
          </w:tcPr>
          <w:p>
            <w:pPr>
              <w:jc w:val="center"/>
            </w:pPr>
            <w:r>
              <w:rPr>
                <w:rFonts w:ascii="Times New Roman" w:hAnsi="Times New Roman"/>
                <w:b/>
                <w:i/>
                <w:sz w:val="18"/>
              </w:rPr>
              <w:t>Technology</w:t>
            </w:r>
          </w:p>
        </w:tc>
        <w:tc>
          <w:tcPr>
            <w:tcW w:type="dxa" w:w="3120"/>
          </w:tcPr>
          <w:p>
            <w:pPr>
              <w:jc w:val="center"/>
            </w:pPr>
            <w:r>
              <w:rPr>
                <w:rFonts w:ascii="Times New Roman" w:hAnsi="Times New Roman"/>
                <w:b/>
                <w:i/>
                <w:sz w:val="18"/>
              </w:rPr>
              <w:t>Version</w:t>
            </w:r>
          </w:p>
        </w:tc>
      </w:tr>
      <w:tr>
        <w:tc>
          <w:tcPr>
            <w:tcW w:type="dxa" w:w="3120"/>
          </w:tcPr>
          <w:p>
            <w:pPr>
              <w:jc w:val="center"/>
            </w:pPr>
            <w:r>
              <w:rPr>
                <w:rFonts w:ascii="Times New Roman" w:hAnsi="Times New Roman"/>
                <w:b w:val="0"/>
                <w:i w:val="0"/>
                <w:sz w:val="18"/>
              </w:rPr>
              <w:t>Smart Contract</w:t>
            </w:r>
          </w:p>
        </w:tc>
        <w:tc>
          <w:tcPr>
            <w:tcW w:type="dxa" w:w="3120"/>
          </w:tcPr>
          <w:p>
            <w:pPr>
              <w:jc w:val="center"/>
            </w:pPr>
            <w:r>
              <w:rPr>
                <w:rFonts w:ascii="Times New Roman" w:hAnsi="Times New Roman"/>
                <w:b w:val="0"/>
                <w:i w:val="0"/>
                <w:sz w:val="18"/>
              </w:rPr>
              <w:t>Solidity</w:t>
            </w:r>
          </w:p>
        </w:tc>
        <w:tc>
          <w:tcPr>
            <w:tcW w:type="dxa" w:w="3120"/>
          </w:tcPr>
          <w:p>
            <w:pPr>
              <w:jc w:val="center"/>
            </w:pPr>
            <w:r>
              <w:rPr>
                <w:rFonts w:ascii="Times New Roman" w:hAnsi="Times New Roman"/>
                <w:b w:val="0"/>
                <w:i w:val="0"/>
                <w:sz w:val="18"/>
              </w:rPr>
              <w:t>0.8.0</w:t>
            </w:r>
          </w:p>
        </w:tc>
      </w:tr>
      <w:tr>
        <w:tc>
          <w:tcPr>
            <w:tcW w:type="dxa" w:w="3120"/>
          </w:tcPr>
          <w:p>
            <w:pPr>
              <w:jc w:val="center"/>
            </w:pPr>
            <w:r>
              <w:rPr>
                <w:rFonts w:ascii="Times New Roman" w:hAnsi="Times New Roman"/>
                <w:b w:val="0"/>
                <w:i w:val="0"/>
                <w:sz w:val="18"/>
              </w:rPr>
              <w:t>Local Blockchain</w:t>
            </w:r>
          </w:p>
        </w:tc>
        <w:tc>
          <w:tcPr>
            <w:tcW w:type="dxa" w:w="3120"/>
          </w:tcPr>
          <w:p>
            <w:pPr>
              <w:jc w:val="center"/>
            </w:pPr>
            <w:r>
              <w:rPr>
                <w:rFonts w:ascii="Times New Roman" w:hAnsi="Times New Roman"/>
                <w:b w:val="0"/>
                <w:i w:val="0"/>
                <w:sz w:val="18"/>
              </w:rPr>
              <w:t>Ganache</w:t>
            </w:r>
          </w:p>
        </w:tc>
        <w:tc>
          <w:tcPr>
            <w:tcW w:type="dxa" w:w="3120"/>
          </w:tcPr>
          <w:p>
            <w:pPr>
              <w:jc w:val="center"/>
            </w:pPr>
            <w:r>
              <w:rPr>
                <w:rFonts w:ascii="Times New Roman" w:hAnsi="Times New Roman"/>
                <w:b w:val="0"/>
                <w:i w:val="0"/>
                <w:sz w:val="18"/>
              </w:rPr>
              <w:t>7.x</w:t>
            </w:r>
          </w:p>
        </w:tc>
      </w:tr>
      <w:tr>
        <w:tc>
          <w:tcPr>
            <w:tcW w:type="dxa" w:w="3120"/>
          </w:tcPr>
          <w:p>
            <w:pPr>
              <w:jc w:val="center"/>
            </w:pPr>
            <w:r>
              <w:rPr>
                <w:rFonts w:ascii="Times New Roman" w:hAnsi="Times New Roman"/>
                <w:b w:val="0"/>
                <w:i w:val="0"/>
                <w:sz w:val="18"/>
              </w:rPr>
              <w:t>Backend Runtime</w:t>
            </w:r>
          </w:p>
        </w:tc>
        <w:tc>
          <w:tcPr>
            <w:tcW w:type="dxa" w:w="3120"/>
          </w:tcPr>
          <w:p>
            <w:pPr>
              <w:jc w:val="center"/>
            </w:pPr>
            <w:r>
              <w:rPr>
                <w:rFonts w:ascii="Times New Roman" w:hAnsi="Times New Roman"/>
                <w:b w:val="0"/>
                <w:i w:val="0"/>
                <w:sz w:val="18"/>
              </w:rPr>
              <w:t>Node.js</w:t>
            </w:r>
          </w:p>
        </w:tc>
        <w:tc>
          <w:tcPr>
            <w:tcW w:type="dxa" w:w="3120"/>
          </w:tcPr>
          <w:p>
            <w:pPr>
              <w:jc w:val="center"/>
            </w:pPr>
            <w:r>
              <w:rPr>
                <w:rFonts w:ascii="Times New Roman" w:hAnsi="Times New Roman"/>
                <w:b w:val="0"/>
                <w:i w:val="0"/>
                <w:sz w:val="18"/>
              </w:rPr>
              <w:t>18 LTS</w:t>
            </w:r>
          </w:p>
        </w:tc>
      </w:tr>
      <w:tr>
        <w:tc>
          <w:tcPr>
            <w:tcW w:type="dxa" w:w="3120"/>
          </w:tcPr>
          <w:p>
            <w:pPr>
              <w:jc w:val="center"/>
            </w:pPr>
            <w:r>
              <w:rPr>
                <w:rFonts w:ascii="Times New Roman" w:hAnsi="Times New Roman"/>
                <w:b w:val="0"/>
                <w:i w:val="0"/>
                <w:sz w:val="18"/>
              </w:rPr>
              <w:t>Web3 Library</w:t>
            </w:r>
          </w:p>
        </w:tc>
        <w:tc>
          <w:tcPr>
            <w:tcW w:type="dxa" w:w="3120"/>
          </w:tcPr>
          <w:p>
            <w:pPr>
              <w:jc w:val="center"/>
            </w:pPr>
            <w:r>
              <w:rPr>
                <w:rFonts w:ascii="Times New Roman" w:hAnsi="Times New Roman"/>
                <w:b w:val="0"/>
                <w:i w:val="0"/>
                <w:sz w:val="18"/>
              </w:rPr>
              <w:t>ethers.js</w:t>
            </w:r>
          </w:p>
        </w:tc>
        <w:tc>
          <w:tcPr>
            <w:tcW w:type="dxa" w:w="3120"/>
          </w:tcPr>
          <w:p>
            <w:pPr>
              <w:jc w:val="center"/>
            </w:pPr>
            <w:r>
              <w:rPr>
                <w:rFonts w:ascii="Times New Roman" w:hAnsi="Times New Roman"/>
                <w:b w:val="0"/>
                <w:i w:val="0"/>
                <w:sz w:val="18"/>
              </w:rPr>
              <w:t>6.x</w:t>
            </w:r>
          </w:p>
        </w:tc>
      </w:tr>
      <w:tr>
        <w:tc>
          <w:tcPr>
            <w:tcW w:type="dxa" w:w="3120"/>
          </w:tcPr>
          <w:p>
            <w:pPr>
              <w:jc w:val="center"/>
            </w:pPr>
            <w:r>
              <w:rPr>
                <w:rFonts w:ascii="Times New Roman" w:hAnsi="Times New Roman"/>
                <w:b w:val="0"/>
                <w:i w:val="0"/>
                <w:sz w:val="18"/>
              </w:rPr>
              <w:t>HTTP Framework</w:t>
            </w:r>
          </w:p>
        </w:tc>
        <w:tc>
          <w:tcPr>
            <w:tcW w:type="dxa" w:w="3120"/>
          </w:tcPr>
          <w:p>
            <w:pPr>
              <w:jc w:val="center"/>
            </w:pPr>
            <w:r>
              <w:rPr>
                <w:rFonts w:ascii="Times New Roman" w:hAnsi="Times New Roman"/>
                <w:b w:val="0"/>
                <w:i w:val="0"/>
                <w:sz w:val="18"/>
              </w:rPr>
              <w:t>Express</w:t>
            </w:r>
          </w:p>
        </w:tc>
        <w:tc>
          <w:tcPr>
            <w:tcW w:type="dxa" w:w="3120"/>
          </w:tcPr>
          <w:p>
            <w:pPr>
              <w:jc w:val="center"/>
            </w:pPr>
            <w:r>
              <w:rPr>
                <w:rFonts w:ascii="Times New Roman" w:hAnsi="Times New Roman"/>
                <w:b w:val="0"/>
                <w:i w:val="0"/>
                <w:sz w:val="18"/>
              </w:rPr>
              <w:t>4.x</w:t>
            </w:r>
          </w:p>
        </w:tc>
      </w:tr>
      <w:tr>
        <w:tc>
          <w:tcPr>
            <w:tcW w:type="dxa" w:w="3120"/>
          </w:tcPr>
          <w:p>
            <w:pPr>
              <w:jc w:val="center"/>
            </w:pPr>
            <w:r>
              <w:rPr>
                <w:rFonts w:ascii="Times New Roman" w:hAnsi="Times New Roman"/>
                <w:b w:val="0"/>
                <w:i w:val="0"/>
                <w:sz w:val="18"/>
              </w:rPr>
              <w:t>Frontend</w:t>
            </w:r>
          </w:p>
        </w:tc>
        <w:tc>
          <w:tcPr>
            <w:tcW w:type="dxa" w:w="3120"/>
          </w:tcPr>
          <w:p>
            <w:pPr>
              <w:jc w:val="center"/>
            </w:pPr>
            <w:r>
              <w:rPr>
                <w:rFonts w:ascii="Times New Roman" w:hAnsi="Times New Roman"/>
                <w:b w:val="0"/>
                <w:i w:val="0"/>
                <w:sz w:val="18"/>
              </w:rPr>
              <w:t>Vanilla HTML/CSS/JS</w:t>
            </w:r>
          </w:p>
        </w:tc>
        <w:tc>
          <w:tcPr>
            <w:tcW w:type="dxa" w:w="3120"/>
          </w:tcPr>
          <w:p>
            <w:pPr>
              <w:jc w:val="center"/>
            </w:pPr>
            <w:r>
              <w:rPr>
                <w:rFonts w:ascii="Times New Roman" w:hAnsi="Times New Roman"/>
                <w:b w:val="0"/>
                <w:i w:val="0"/>
                <w:sz w:val="18"/>
              </w:rPr>
              <w:t>—</w:t>
            </w:r>
          </w:p>
        </w:tc>
      </w:tr>
    </w:tbl>
    <w:p/>
    <w:p>
      <w:pPr>
        <w:spacing w:before="160" w:after="80"/>
        <w:jc w:val="center"/>
      </w:pPr>
      <w:r>
        <w:rPr>
          <w:rFonts w:ascii="Times New Roman" w:hAnsi="Times New Roman"/>
          <w:b w:val="0"/>
          <w:i w:val="0"/>
          <w:sz w:val="20"/>
        </w:rPr>
        <w:t>V. RESULTS AND EVALUATION</w:t>
      </w:r>
    </w:p>
    <w:p>
      <w:pPr>
        <w:spacing w:before="80" w:after="40"/>
        <w:jc w:val="left"/>
      </w:pPr>
      <w:r>
        <w:rPr>
          <w:rFonts w:ascii="Times New Roman" w:hAnsi="Times New Roman"/>
          <w:b w:val="0"/>
          <w:i/>
          <w:sz w:val="20"/>
        </w:rPr>
        <w:t>A. Functional Correctness</w:t>
      </w:r>
    </w:p>
    <w:p>
      <w:pPr>
        <w:spacing w:before="0" w:after="0" w:lineRule="exact" w:line="240"/>
        <w:ind w:firstLine="288"/>
        <w:jc w:val="both"/>
      </w:pPr>
      <w:r>
        <w:rPr>
          <w:rFonts w:ascii="Times New Roman" w:hAnsi="Times New Roman"/>
          <w:b w:val="0"/>
          <w:i w:val="0"/>
          <w:sz w:val="20"/>
        </w:rPr>
        <w:t>All six smart contract functions were tested against six scenarios: valid voter registration, rejection of unregistered addresses, rejection of duplicate votes, phase-gated access control, accurate multi-candidate tallying, and correct Audit-phase retrieval. All test cases passed.</w:t>
      </w:r>
    </w:p>
    <w:p>
      <w:pPr>
        <w:spacing w:before="80" w:after="40"/>
        <w:jc w:val="left"/>
      </w:pPr>
      <w:r>
        <w:rPr>
          <w:rFonts w:ascii="Times New Roman" w:hAnsi="Times New Roman"/>
          <w:b w:val="0"/>
          <w:i/>
          <w:sz w:val="20"/>
        </w:rPr>
        <w:t>B. Performance Benchmarks</w:t>
      </w:r>
    </w:p>
    <w:p>
      <w:pPr>
        <w:spacing w:before="120" w:after="40"/>
        <w:jc w:val="center"/>
      </w:pPr>
      <w:r>
        <w:rPr>
          <w:rFonts w:ascii="Times New Roman" w:hAnsi="Times New Roman"/>
          <w:b w:val="0"/>
          <w:i w:val="0"/>
          <w:sz w:val="18"/>
        </w:rPr>
        <w:t>TABLE II</w:t>
        <w:br/>
        <w:t>SMART CONTRACT OPERATION PERFORMANCE (GANACHE, INSTANT-MINING)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b/>
                <w:i/>
                <w:sz w:val="18"/>
              </w:rPr>
              <w:t>Operation</w:t>
            </w:r>
          </w:p>
        </w:tc>
        <w:tc>
          <w:tcPr>
            <w:tcW w:type="dxa" w:w="3120"/>
          </w:tcPr>
          <w:p>
            <w:pPr>
              <w:jc w:val="center"/>
            </w:pPr>
            <w:r>
              <w:rPr>
                <w:rFonts w:ascii="Times New Roman" w:hAnsi="Times New Roman"/>
                <w:b/>
                <w:i/>
                <w:sz w:val="18"/>
              </w:rPr>
              <w:t>Avg Latency (ms)</w:t>
            </w:r>
          </w:p>
        </w:tc>
        <w:tc>
          <w:tcPr>
            <w:tcW w:type="dxa" w:w="3120"/>
          </w:tcPr>
          <w:p>
            <w:pPr>
              <w:jc w:val="center"/>
            </w:pPr>
            <w:r>
              <w:rPr>
                <w:rFonts w:ascii="Times New Roman" w:hAnsi="Times New Roman"/>
                <w:b/>
                <w:i/>
                <w:sz w:val="18"/>
              </w:rPr>
              <w:t>Gas Used</w:t>
            </w:r>
          </w:p>
        </w:tc>
      </w:tr>
      <w:tr>
        <w:tc>
          <w:tcPr>
            <w:tcW w:type="dxa" w:w="3120"/>
          </w:tcPr>
          <w:p>
            <w:pPr>
              <w:jc w:val="center"/>
            </w:pPr>
            <w:r>
              <w:rPr>
                <w:rFonts w:ascii="Times New Roman" w:hAnsi="Times New Roman"/>
                <w:b w:val="0"/>
                <w:i w:val="0"/>
                <w:sz w:val="18"/>
              </w:rPr>
              <w:t>registerVoter()</w:t>
            </w:r>
          </w:p>
        </w:tc>
        <w:tc>
          <w:tcPr>
            <w:tcW w:type="dxa" w:w="3120"/>
          </w:tcPr>
          <w:p>
            <w:pPr>
              <w:jc w:val="center"/>
            </w:pPr>
            <w:r>
              <w:rPr>
                <w:rFonts w:ascii="Times New Roman" w:hAnsi="Times New Roman"/>
                <w:b w:val="0"/>
                <w:i w:val="0"/>
                <w:sz w:val="18"/>
              </w:rPr>
              <w:t>42</w:t>
            </w:r>
          </w:p>
        </w:tc>
        <w:tc>
          <w:tcPr>
            <w:tcW w:type="dxa" w:w="3120"/>
          </w:tcPr>
          <w:p>
            <w:pPr>
              <w:jc w:val="center"/>
            </w:pPr>
            <w:r>
              <w:rPr>
                <w:rFonts w:ascii="Times New Roman" w:hAnsi="Times New Roman"/>
                <w:b w:val="0"/>
                <w:i w:val="0"/>
                <w:sz w:val="18"/>
              </w:rPr>
              <w:t>~46,000</w:t>
            </w:r>
          </w:p>
        </w:tc>
      </w:tr>
      <w:tr>
        <w:tc>
          <w:tcPr>
            <w:tcW w:type="dxa" w:w="3120"/>
          </w:tcPr>
          <w:p>
            <w:pPr>
              <w:jc w:val="center"/>
            </w:pPr>
            <w:r>
              <w:rPr>
                <w:rFonts w:ascii="Times New Roman" w:hAnsi="Times New Roman"/>
                <w:b w:val="0"/>
                <w:i w:val="0"/>
                <w:sz w:val="18"/>
              </w:rPr>
              <w:t>startVoting()</w:t>
            </w:r>
          </w:p>
        </w:tc>
        <w:tc>
          <w:tcPr>
            <w:tcW w:type="dxa" w:w="3120"/>
          </w:tcPr>
          <w:p>
            <w:pPr>
              <w:jc w:val="center"/>
            </w:pPr>
            <w:r>
              <w:rPr>
                <w:rFonts w:ascii="Times New Roman" w:hAnsi="Times New Roman"/>
                <w:b w:val="0"/>
                <w:i w:val="0"/>
                <w:sz w:val="18"/>
              </w:rPr>
              <w:t>38</w:t>
            </w:r>
          </w:p>
        </w:tc>
        <w:tc>
          <w:tcPr>
            <w:tcW w:type="dxa" w:w="3120"/>
          </w:tcPr>
          <w:p>
            <w:pPr>
              <w:jc w:val="center"/>
            </w:pPr>
            <w:r>
              <w:rPr>
                <w:rFonts w:ascii="Times New Roman" w:hAnsi="Times New Roman"/>
                <w:b w:val="0"/>
                <w:i w:val="0"/>
                <w:sz w:val="18"/>
              </w:rPr>
              <w:t>~28,000</w:t>
            </w:r>
          </w:p>
        </w:tc>
      </w:tr>
      <w:tr>
        <w:tc>
          <w:tcPr>
            <w:tcW w:type="dxa" w:w="3120"/>
          </w:tcPr>
          <w:p>
            <w:pPr>
              <w:jc w:val="center"/>
            </w:pPr>
            <w:r>
              <w:rPr>
                <w:rFonts w:ascii="Times New Roman" w:hAnsi="Times New Roman"/>
                <w:b w:val="0"/>
                <w:i w:val="0"/>
                <w:sz w:val="18"/>
              </w:rPr>
              <w:t>castVote()</w:t>
            </w:r>
          </w:p>
        </w:tc>
        <w:tc>
          <w:tcPr>
            <w:tcW w:type="dxa" w:w="3120"/>
          </w:tcPr>
          <w:p>
            <w:pPr>
              <w:jc w:val="center"/>
            </w:pPr>
            <w:r>
              <w:rPr>
                <w:rFonts w:ascii="Times New Roman" w:hAnsi="Times New Roman"/>
                <w:b w:val="0"/>
                <w:i w:val="0"/>
                <w:sz w:val="18"/>
              </w:rPr>
              <w:t>51</w:t>
            </w:r>
          </w:p>
        </w:tc>
        <w:tc>
          <w:tcPr>
            <w:tcW w:type="dxa" w:w="3120"/>
          </w:tcPr>
          <w:p>
            <w:pPr>
              <w:jc w:val="center"/>
            </w:pPr>
            <w:r>
              <w:rPr>
                <w:rFonts w:ascii="Times New Roman" w:hAnsi="Times New Roman"/>
                <w:b w:val="0"/>
                <w:i w:val="0"/>
                <w:sz w:val="18"/>
              </w:rPr>
              <w:t>~62,000</w:t>
            </w:r>
          </w:p>
        </w:tc>
      </w:tr>
      <w:tr>
        <w:tc>
          <w:tcPr>
            <w:tcW w:type="dxa" w:w="3120"/>
          </w:tcPr>
          <w:p>
            <w:pPr>
              <w:jc w:val="center"/>
            </w:pPr>
            <w:r>
              <w:rPr>
                <w:rFonts w:ascii="Times New Roman" w:hAnsi="Times New Roman"/>
                <w:b w:val="0"/>
                <w:i w:val="0"/>
                <w:sz w:val="18"/>
              </w:rPr>
              <w:t>endElection()</w:t>
            </w:r>
          </w:p>
        </w:tc>
        <w:tc>
          <w:tcPr>
            <w:tcW w:type="dxa" w:w="3120"/>
          </w:tcPr>
          <w:p>
            <w:pPr>
              <w:jc w:val="center"/>
            </w:pPr>
            <w:r>
              <w:rPr>
                <w:rFonts w:ascii="Times New Roman" w:hAnsi="Times New Roman"/>
                <w:b w:val="0"/>
                <w:i w:val="0"/>
                <w:sz w:val="18"/>
              </w:rPr>
              <w:t>35</w:t>
            </w:r>
          </w:p>
        </w:tc>
        <w:tc>
          <w:tcPr>
            <w:tcW w:type="dxa" w:w="3120"/>
          </w:tcPr>
          <w:p>
            <w:pPr>
              <w:jc w:val="center"/>
            </w:pPr>
            <w:r>
              <w:rPr>
                <w:rFonts w:ascii="Times New Roman" w:hAnsi="Times New Roman"/>
                <w:b w:val="0"/>
                <w:i w:val="0"/>
                <w:sz w:val="18"/>
              </w:rPr>
              <w:t>~25,000</w:t>
            </w:r>
          </w:p>
        </w:tc>
      </w:tr>
      <w:tr>
        <w:tc>
          <w:tcPr>
            <w:tcW w:type="dxa" w:w="3120"/>
          </w:tcPr>
          <w:p>
            <w:pPr>
              <w:jc w:val="center"/>
            </w:pPr>
            <w:r>
              <w:rPr>
                <w:rFonts w:ascii="Times New Roman" w:hAnsi="Times New Roman"/>
                <w:b w:val="0"/>
                <w:i w:val="0"/>
                <w:sz w:val="18"/>
              </w:rPr>
              <w:t>getCandidateVotes() (view)</w:t>
            </w:r>
          </w:p>
        </w:tc>
        <w:tc>
          <w:tcPr>
            <w:tcW w:type="dxa" w:w="3120"/>
          </w:tcPr>
          <w:p>
            <w:pPr>
              <w:jc w:val="center"/>
            </w:pPr>
            <w:r>
              <w:rPr>
                <w:rFonts w:ascii="Times New Roman" w:hAnsi="Times New Roman"/>
                <w:b w:val="0"/>
                <w:i w:val="0"/>
                <w:sz w:val="18"/>
              </w:rPr>
              <w:t>8</w:t>
            </w:r>
          </w:p>
        </w:tc>
        <w:tc>
          <w:tcPr>
            <w:tcW w:type="dxa" w:w="3120"/>
          </w:tcPr>
          <w:p>
            <w:pPr>
              <w:jc w:val="center"/>
            </w:pPr>
            <w:r>
              <w:rPr>
                <w:rFonts w:ascii="Times New Roman" w:hAnsi="Times New Roman"/>
                <w:b w:val="0"/>
                <w:i w:val="0"/>
                <w:sz w:val="18"/>
              </w:rPr>
              <w:t>0</w:t>
            </w:r>
          </w:p>
        </w:tc>
      </w:tr>
      <w:tr>
        <w:tc>
          <w:tcPr>
            <w:tcW w:type="dxa" w:w="3120"/>
          </w:tcPr>
          <w:p>
            <w:pPr>
              <w:jc w:val="center"/>
            </w:pPr>
            <w:r>
              <w:rPr>
                <w:rFonts w:ascii="Times New Roman" w:hAnsi="Times New Roman"/>
                <w:b w:val="0"/>
                <w:i w:val="0"/>
                <w:sz w:val="18"/>
              </w:rPr>
              <w:t>getUserVote() (view)</w:t>
            </w:r>
          </w:p>
        </w:tc>
        <w:tc>
          <w:tcPr>
            <w:tcW w:type="dxa" w:w="3120"/>
          </w:tcPr>
          <w:p>
            <w:pPr>
              <w:jc w:val="center"/>
            </w:pPr>
            <w:r>
              <w:rPr>
                <w:rFonts w:ascii="Times New Roman" w:hAnsi="Times New Roman"/>
                <w:b w:val="0"/>
                <w:i w:val="0"/>
                <w:sz w:val="18"/>
              </w:rPr>
              <w:t>6</w:t>
            </w:r>
          </w:p>
        </w:tc>
        <w:tc>
          <w:tcPr>
            <w:tcW w:type="dxa" w:w="3120"/>
          </w:tcPr>
          <w:p>
            <w:pPr>
              <w:jc w:val="center"/>
            </w:pPr>
            <w:r>
              <w:rPr>
                <w:rFonts w:ascii="Times New Roman" w:hAnsi="Times New Roman"/>
                <w:b w:val="0"/>
                <w:i w:val="0"/>
                <w:sz w:val="18"/>
              </w:rPr>
              <w:t>0</w:t>
            </w:r>
          </w:p>
        </w:tc>
      </w:tr>
    </w:tbl>
    <w:p/>
    <w:p>
      <w:pPr>
        <w:spacing w:before="0" w:after="0" w:lineRule="exact" w:line="240"/>
        <w:ind w:firstLine="288"/>
        <w:jc w:val="both"/>
      </w:pPr>
      <w:r>
        <w:rPr>
          <w:rFonts w:ascii="Times New Roman" w:hAnsi="Times New Roman"/>
          <w:b w:val="0"/>
          <w:i w:val="0"/>
          <w:sz w:val="20"/>
        </w:rPr>
        <w:t>Figures reflect local network performance under instant-mining (no propagation delay). Production deployment latency is governed by Ethereum mainnet block finality (~12 s post-Merge) and gas price dynamics, not local computation cost.</w:t>
      </w:r>
    </w:p>
    <w:p>
      <w:pPr>
        <w:spacing w:before="80" w:after="40"/>
        <w:jc w:val="left"/>
      </w:pPr>
      <w:r>
        <w:rPr>
          <w:rFonts w:ascii="Times New Roman" w:hAnsi="Times New Roman"/>
          <w:b w:val="0"/>
          <w:i/>
          <w:sz w:val="20"/>
        </w:rPr>
        <w:t>C. Security Analysis</w:t>
      </w:r>
    </w:p>
    <w:p>
      <w:pPr>
        <w:spacing w:before="0" w:after="0" w:lineRule="exact" w:line="240"/>
        <w:ind w:firstLine="288"/>
        <w:jc w:val="both"/>
      </w:pPr>
      <w:r>
        <w:rPr>
          <w:rFonts w:ascii="Times New Roman" w:hAnsi="Times New Roman"/>
          <w:b w:val="0"/>
          <w:i w:val="0"/>
          <w:sz w:val="20"/>
        </w:rPr>
        <w:t>Double-voting prevention: the hasVoted flag is set atomically within a single EVM transaction; no concurrent or sequential call sequence can produce a second accepted ballot from the same address.</w:t>
      </w:r>
    </w:p>
    <w:p>
      <w:pPr>
        <w:spacing w:before="0" w:after="0" w:lineRule="exact" w:line="240"/>
        <w:ind w:firstLine="288"/>
        <w:jc w:val="both"/>
      </w:pPr>
      <w:r>
        <w:rPr>
          <w:rFonts w:ascii="Times New Roman" w:hAnsi="Times New Roman"/>
          <w:b w:val="0"/>
          <w:i w:val="0"/>
          <w:sz w:val="20"/>
        </w:rPr>
        <w:t>Ballot stuffing: only addresses enrolled during the Registration phase are accepted. The administrator cannot add voters after voting commences (requirePhase modifier on registerVoter()).</w:t>
      </w:r>
    </w:p>
    <w:p>
      <w:pPr>
        <w:spacing w:before="0" w:after="0" w:lineRule="exact" w:line="240"/>
        <w:ind w:firstLine="288"/>
        <w:jc w:val="both"/>
      </w:pPr>
      <w:r>
        <w:rPr>
          <w:rFonts w:ascii="Times New Roman" w:hAnsi="Times New Roman"/>
          <w:b w:val="0"/>
          <w:i w:val="0"/>
          <w:sz w:val="20"/>
        </w:rPr>
        <w:t>Vote tampering: Ethereum's Merkle-Patricia trie structure ensures that modifying historical state invalidates all subsequent block hashes. Tampering requires executing a 51% attack. Production deployment requires a sufficiently large proof-of-stake (PoS) validator set to make such an attack economically infeasible. Deployment on a private or test network — as in this prototype — does not provide this economic security guarantee and is unsuitable for production electoral use.</w:t>
      </w:r>
    </w:p>
    <w:p>
      <w:pPr>
        <w:spacing w:before="0" w:after="0" w:lineRule="exact" w:line="240"/>
        <w:ind w:firstLine="288"/>
        <w:jc w:val="both"/>
      </w:pPr>
      <w:r>
        <w:rPr>
          <w:rFonts w:ascii="Times New Roman" w:hAnsi="Times New Roman"/>
          <w:b w:val="0"/>
          <w:i w:val="0"/>
          <w:sz w:val="20"/>
        </w:rPr>
        <w:t>Voter coercion: the current design does not address voter coercion. Since vote choices are publicly linkable to wallet addresses, a coercive party with knowledge of a voter's address can verify how that voter voted on-chain. This structural limitation of public ledger designs is not mitigated by the smart contract and requires a cryptographic anonymity layer — specifically a ZKP scheme that proves valid vote inclusion without revealing voter identity or choice [8]. This limitation is consistent with Hjálmarsson et al. [9] and is acknowledged as the most critical open problem for production deployment.</w:t>
      </w:r>
    </w:p>
    <w:p>
      <w:pPr>
        <w:spacing w:before="0" w:after="0" w:lineRule="exact" w:line="240"/>
        <w:ind w:firstLine="288"/>
        <w:jc w:val="both"/>
      </w:pPr>
      <w:r>
        <w:rPr>
          <w:rFonts w:ascii="Times New Roman" w:hAnsi="Times New Roman"/>
          <w:b w:val="0"/>
          <w:i w:val="0"/>
          <w:sz w:val="20"/>
        </w:rPr>
        <w:t>Result manipulation: vote tallies are computed deterministically from on-chain data; the administrator has no privileged function to alter tallies.</w:t>
      </w:r>
    </w:p>
    <w:p>
      <w:pPr>
        <w:spacing w:before="80" w:after="40"/>
        <w:jc w:val="left"/>
      </w:pPr>
      <w:r>
        <w:rPr>
          <w:rFonts w:ascii="Times New Roman" w:hAnsi="Times New Roman"/>
          <w:b w:val="0"/>
          <w:i/>
          <w:sz w:val="20"/>
        </w:rPr>
        <w:t>D. Comparative Analysis</w:t>
      </w:r>
    </w:p>
    <w:p>
      <w:pPr>
        <w:spacing w:before="120" w:after="40"/>
        <w:jc w:val="center"/>
      </w:pPr>
      <w:r>
        <w:rPr>
          <w:rFonts w:ascii="Times New Roman" w:hAnsi="Times New Roman"/>
          <w:b w:val="0"/>
          <w:i w:val="0"/>
          <w:sz w:val="18"/>
        </w:rPr>
        <w:t>TABLE III</w:t>
        <w:br/>
        <w:t>COMPARISON WITH RELATED SYSTEMS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i/>
                <w:sz w:val="18"/>
              </w:rPr>
              <w:t>Feature</w:t>
            </w:r>
          </w:p>
        </w:tc>
        <w:tc>
          <w:tcPr>
            <w:tcW w:type="dxa" w:w="2340"/>
          </w:tcPr>
          <w:p>
            <w:pPr>
              <w:jc w:val="center"/>
            </w:pPr>
            <w:r>
              <w:rPr>
                <w:rFonts w:ascii="Times New Roman" w:hAnsi="Times New Roman"/>
                <w:b/>
                <w:i/>
                <w:sz w:val="18"/>
              </w:rPr>
              <w:t>This Work</w:t>
            </w:r>
          </w:p>
        </w:tc>
        <w:tc>
          <w:tcPr>
            <w:tcW w:type="dxa" w:w="2340"/>
          </w:tcPr>
          <w:p>
            <w:pPr>
              <w:jc w:val="center"/>
            </w:pPr>
            <w:r>
              <w:rPr>
                <w:rFonts w:ascii="Times New Roman" w:hAnsi="Times New Roman"/>
                <w:b/>
                <w:i/>
                <w:sz w:val="18"/>
              </w:rPr>
              <w:t>McCorry et al. [8]</w:t>
            </w:r>
          </w:p>
        </w:tc>
        <w:tc>
          <w:tcPr>
            <w:tcW w:type="dxa" w:w="2340"/>
          </w:tcPr>
          <w:p>
            <w:pPr>
              <w:jc w:val="center"/>
            </w:pPr>
            <w:r>
              <w:rPr>
                <w:rFonts w:ascii="Times New Roman" w:hAnsi="Times New Roman"/>
                <w:b/>
                <w:i/>
                <w:sz w:val="18"/>
              </w:rPr>
              <w:t>Helios [6]</w:t>
            </w:r>
          </w:p>
        </w:tc>
      </w:tr>
      <w:tr>
        <w:tc>
          <w:tcPr>
            <w:tcW w:type="dxa" w:w="2340"/>
          </w:tcPr>
          <w:p>
            <w:pPr>
              <w:jc w:val="center"/>
            </w:pPr>
            <w:r>
              <w:rPr>
                <w:rFonts w:ascii="Times New Roman" w:hAnsi="Times New Roman"/>
                <w:b w:val="0"/>
                <w:i w:val="0"/>
                <w:sz w:val="18"/>
              </w:rPr>
              <w:t>On-chain tallying</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No</w:t>
            </w:r>
          </w:p>
        </w:tc>
      </w:tr>
      <w:tr>
        <w:tc>
          <w:tcPr>
            <w:tcW w:type="dxa" w:w="2340"/>
          </w:tcPr>
          <w:p>
            <w:pPr>
              <w:jc w:val="center"/>
            </w:pPr>
            <w:r>
              <w:rPr>
                <w:rFonts w:ascii="Times New Roman" w:hAnsi="Times New Roman"/>
                <w:b w:val="0"/>
                <w:i w:val="0"/>
                <w:sz w:val="18"/>
              </w:rPr>
              <w:t>Voter anonymity</w:t>
            </w:r>
          </w:p>
        </w:tc>
        <w:tc>
          <w:tcPr>
            <w:tcW w:type="dxa" w:w="2340"/>
          </w:tcPr>
          <w:p>
            <w:pPr>
              <w:jc w:val="center"/>
            </w:pPr>
            <w:r>
              <w:rPr>
                <w:rFonts w:ascii="Times New Roman" w:hAnsi="Times New Roman"/>
                <w:b w:val="0"/>
                <w:i w:val="0"/>
                <w:sz w:val="18"/>
              </w:rPr>
              <w:t>No</w:t>
            </w:r>
          </w:p>
        </w:tc>
        <w:tc>
          <w:tcPr>
            <w:tcW w:type="dxa" w:w="2340"/>
          </w:tcPr>
          <w:p>
            <w:pPr>
              <w:jc w:val="center"/>
            </w:pPr>
            <w:r>
              <w:rPr>
                <w:rFonts w:ascii="Times New Roman" w:hAnsi="Times New Roman"/>
                <w:b w:val="0"/>
                <w:i w:val="0"/>
                <w:sz w:val="18"/>
              </w:rPr>
              <w:t>Yes (ZKP)</w:t>
            </w:r>
          </w:p>
        </w:tc>
        <w:tc>
          <w:tcPr>
            <w:tcW w:type="dxa" w:w="2340"/>
          </w:tcPr>
          <w:p>
            <w:pPr>
              <w:jc w:val="center"/>
            </w:pPr>
            <w:r>
              <w:rPr>
                <w:rFonts w:ascii="Times New Roman" w:hAnsi="Times New Roman"/>
                <w:b w:val="0"/>
                <w:i w:val="0"/>
                <w:sz w:val="18"/>
              </w:rPr>
              <w:t>Partial (mixnet)</w:t>
            </w:r>
          </w:p>
        </w:tc>
      </w:tr>
      <w:tr>
        <w:tc>
          <w:tcPr>
            <w:tcW w:type="dxa" w:w="2340"/>
          </w:tcPr>
          <w:p>
            <w:pPr>
              <w:jc w:val="center"/>
            </w:pPr>
            <w:r>
              <w:rPr>
                <w:rFonts w:ascii="Times New Roman" w:hAnsi="Times New Roman"/>
                <w:b w:val="0"/>
                <w:i w:val="0"/>
                <w:sz w:val="18"/>
              </w:rPr>
              <w:t>Double-vote prevention</w:t>
            </w:r>
          </w:p>
        </w:tc>
        <w:tc>
          <w:tcPr>
            <w:tcW w:type="dxa" w:w="2340"/>
          </w:tcPr>
          <w:p>
            <w:pPr>
              <w:jc w:val="center"/>
            </w:pPr>
            <w:r>
              <w:rPr>
                <w:rFonts w:ascii="Times New Roman" w:hAnsi="Times New Roman"/>
                <w:b w:val="0"/>
                <w:i w:val="0"/>
                <w:sz w:val="18"/>
              </w:rPr>
              <w:t>Yes (contract)</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Yes</w:t>
            </w:r>
          </w:p>
        </w:tc>
      </w:tr>
      <w:tr>
        <w:tc>
          <w:tcPr>
            <w:tcW w:type="dxa" w:w="2340"/>
          </w:tcPr>
          <w:p>
            <w:pPr>
              <w:jc w:val="center"/>
            </w:pPr>
            <w:r>
              <w:rPr>
                <w:rFonts w:ascii="Times New Roman" w:hAnsi="Times New Roman"/>
                <w:b w:val="0"/>
                <w:i w:val="0"/>
                <w:sz w:val="18"/>
              </w:rPr>
              <w:t>Full on-chain audit trail</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Partial</w:t>
            </w:r>
          </w:p>
        </w:tc>
      </w:tr>
      <w:tr>
        <w:tc>
          <w:tcPr>
            <w:tcW w:type="dxa" w:w="2340"/>
          </w:tcPr>
          <w:p>
            <w:pPr>
              <w:jc w:val="center"/>
            </w:pPr>
            <w:r>
              <w:rPr>
                <w:rFonts w:ascii="Times New Roman" w:hAnsi="Times New Roman"/>
                <w:b w:val="0"/>
                <w:i w:val="0"/>
                <w:sz w:val="18"/>
              </w:rPr>
              <w:t>Practical deployability</w:t>
            </w:r>
          </w:p>
        </w:tc>
        <w:tc>
          <w:tcPr>
            <w:tcW w:type="dxa" w:w="2340"/>
          </w:tcPr>
          <w:p>
            <w:pPr>
              <w:jc w:val="center"/>
            </w:pPr>
            <w:r>
              <w:rPr>
                <w:rFonts w:ascii="Times New Roman" w:hAnsi="Times New Roman"/>
                <w:b w:val="0"/>
                <w:i w:val="0"/>
                <w:sz w:val="18"/>
              </w:rPr>
              <w:t>High</w:t>
            </w:r>
          </w:p>
        </w:tc>
        <w:tc>
          <w:tcPr>
            <w:tcW w:type="dxa" w:w="2340"/>
          </w:tcPr>
          <w:p>
            <w:pPr>
              <w:jc w:val="center"/>
            </w:pPr>
            <w:r>
              <w:rPr>
                <w:rFonts w:ascii="Times New Roman" w:hAnsi="Times New Roman"/>
                <w:b w:val="0"/>
                <w:i w:val="0"/>
                <w:sz w:val="18"/>
              </w:rPr>
              <w:t>Low (gas cost)</w:t>
            </w:r>
          </w:p>
        </w:tc>
        <w:tc>
          <w:tcPr>
            <w:tcW w:type="dxa" w:w="2340"/>
          </w:tcPr>
          <w:p>
            <w:pPr>
              <w:jc w:val="center"/>
            </w:pPr>
            <w:r>
              <w:rPr>
                <w:rFonts w:ascii="Times New Roman" w:hAnsi="Times New Roman"/>
                <w:b w:val="0"/>
                <w:i w:val="0"/>
                <w:sz w:val="18"/>
              </w:rPr>
              <w:t>Medium</w:t>
            </w:r>
          </w:p>
        </w:tc>
      </w:tr>
      <w:tr>
        <w:tc>
          <w:tcPr>
            <w:tcW w:type="dxa" w:w="2340"/>
          </w:tcPr>
          <w:p>
            <w:pPr>
              <w:jc w:val="center"/>
            </w:pPr>
            <w:r>
              <w:rPr>
                <w:rFonts w:ascii="Times New Roman" w:hAnsi="Times New Roman"/>
                <w:b w:val="0"/>
                <w:i w:val="0"/>
                <w:sz w:val="18"/>
              </w:rPr>
              <w:t>Phase-gated lifecycle</w:t>
            </w:r>
          </w:p>
        </w:tc>
        <w:tc>
          <w:tcPr>
            <w:tcW w:type="dxa" w:w="2340"/>
          </w:tcPr>
          <w:p>
            <w:pPr>
              <w:jc w:val="center"/>
            </w:pPr>
            <w:r>
              <w:rPr>
                <w:rFonts w:ascii="Times New Roman" w:hAnsi="Times New Roman"/>
                <w:b w:val="0"/>
                <w:i w:val="0"/>
                <w:sz w:val="18"/>
              </w:rPr>
              <w:t>Yes</w:t>
            </w:r>
          </w:p>
        </w:tc>
        <w:tc>
          <w:tcPr>
            <w:tcW w:type="dxa" w:w="2340"/>
          </w:tcPr>
          <w:p>
            <w:pPr>
              <w:jc w:val="center"/>
            </w:pPr>
            <w:r>
              <w:rPr>
                <w:rFonts w:ascii="Times New Roman" w:hAnsi="Times New Roman"/>
                <w:b w:val="0"/>
                <w:i w:val="0"/>
                <w:sz w:val="18"/>
              </w:rPr>
              <w:t>No</w:t>
            </w:r>
          </w:p>
        </w:tc>
        <w:tc>
          <w:tcPr>
            <w:tcW w:type="dxa" w:w="2340"/>
          </w:tcPr>
          <w:p>
            <w:pPr>
              <w:jc w:val="center"/>
            </w:pPr>
            <w:r>
              <w:rPr>
                <w:rFonts w:ascii="Times New Roman" w:hAnsi="Times New Roman"/>
                <w:b w:val="0"/>
                <w:i w:val="0"/>
                <w:sz w:val="18"/>
              </w:rPr>
              <w:t>No</w:t>
            </w:r>
          </w:p>
        </w:tc>
      </w:tr>
    </w:tbl>
    <w:p/>
    <w:p>
      <w:pPr>
        <w:spacing w:before="160" w:after="80"/>
        <w:jc w:val="center"/>
      </w:pPr>
      <w:r>
        <w:rPr>
          <w:rFonts w:ascii="Times New Roman" w:hAnsi="Times New Roman"/>
          <w:b w:val="0"/>
          <w:i w:val="0"/>
          <w:sz w:val="20"/>
        </w:rPr>
        <w:t>VI. CONCLUSION AND FUTURE WORK</w:t>
      </w:r>
    </w:p>
    <w:p>
      <w:pPr>
        <w:spacing w:before="0" w:after="0" w:lineRule="exact" w:line="240"/>
        <w:ind w:firstLine="288"/>
        <w:jc w:val="both"/>
      </w:pPr>
      <w:r>
        <w:rPr>
          <w:rFonts w:ascii="Times New Roman" w:hAnsi="Times New Roman"/>
          <w:b w:val="0"/>
          <w:i w:val="0"/>
          <w:sz w:val="20"/>
        </w:rPr>
        <w:t>This paper has presented a decentralized electronic voting system built on Ethereum smart contracts, formalizing the electoral process as a five-phase on-chain state machine. The prototype demonstrates technical feasibility, functional correctness, and resistance to ballot stuffing, vote tampering, and double-voting through cryptographic enforcement at the protocol layer. The system's primary limitation is the absence of voter anonymity; addresses are publicly linkable to vote choices, enabling coercion. Future work: (1) ZKP integration (Groth16/PLONK) for voter anonymity without sacrificing verifiability; (2) Layer-2 deployment (Optimism/Arbitrum) for gas cost reduction at scale; (3) decentralized voter registration via Decentralized Identifiers (DIDs); (4) formal verification using Certora Prover or Mythril.</w:t>
      </w:r>
    </w:p>
    <w:p>
      <w:pPr>
        <w:spacing w:before="160" w:after="80"/>
        <w:jc w:val="center"/>
      </w:pPr>
      <w:r>
        <w:rPr>
          <w:rFonts w:ascii="Times New Roman" w:hAnsi="Times New Roman"/>
          <w:b w:val="0"/>
          <w:i w:val="0"/>
          <w:sz w:val="20"/>
        </w:rPr>
        <w:t xml:space="preserve">ACKNOWLEDGMENT. </w:t>
      </w:r>
    </w:p>
    <w:p>
      <w:pPr>
        <w:spacing w:before="0" w:after="0" w:lineRule="exact" w:line="240"/>
        <w:jc w:val="both"/>
      </w:pPr>
      <w:r>
        <w:rPr>
          <w:rFonts w:ascii="Times New Roman" w:hAnsi="Times New Roman"/>
          <w:b w:val="0"/>
          <w:i w:val="0"/>
          <w:sz w:val="20"/>
        </w:rPr>
        <w:t>The authors would like to thank the faculty of [Department Name], [Institution], for their guidance and support throughout this research. This work was conducted as part of the undergraduate/postgraduate final-year project program.</w:t>
      </w:r>
    </w:p>
    <w:p>
      <w:pPr>
        <w:spacing w:before="80" w:after="80" w:lineRule="exact" w:line="240"/>
        <w:jc w:val="left"/>
      </w:pPr>
      <w:r>
        <w:rPr>
          <w:rFonts w:ascii="Times New Roman" w:hAnsi="Times New Roman"/>
          <w:b/>
          <w:i w:val="0"/>
          <w:sz w:val="20"/>
        </w:rPr>
        <w:t xml:space="preserve">Conflict of Interest: </w:t>
      </w:r>
      <w:r>
        <w:rPr>
          <w:rFonts w:ascii="Times New Roman" w:hAnsi="Times New Roman"/>
          <w:b w:val="0"/>
          <w:i w:val="0"/>
          <w:sz w:val="20"/>
        </w:rPr>
        <w:t>The authors declare no conflict of interest.</w:t>
      </w:r>
    </w:p>
    <w:p>
      <w:pPr>
        <w:spacing w:before="160" w:after="80"/>
        <w:jc w:val="center"/>
      </w:pPr>
      <w:r>
        <w:rPr>
          <w:rFonts w:ascii="Times New Roman" w:hAnsi="Times New Roman"/>
          <w:b w:val="0"/>
          <w:i w:val="0"/>
          <w:sz w:val="20"/>
        </w:rPr>
        <w:t xml:space="preserve">REFERENCES. </w:t>
      </w:r>
    </w:p>
    <w:p>
      <w:pPr>
        <w:spacing w:before="0" w:after="40" w:lineRule="exact" w:line="240"/>
        <w:ind w:left="432" w:hanging="432"/>
        <w:jc w:val="both"/>
      </w:pPr>
      <w:r>
        <w:rPr>
          <w:rFonts w:ascii="Times New Roman" w:hAnsi="Times New Roman"/>
          <w:b w:val="0"/>
          <w:i w:val="0"/>
          <w:sz w:val="18"/>
        </w:rPr>
        <w:t>[1] D. Jones and B. Simons, Broken Ballots: Will Your Vote Count? CSLI Publications, 2012.</w:t>
      </w:r>
    </w:p>
    <w:p>
      <w:pPr>
        <w:spacing w:before="0" w:after="40" w:lineRule="exact" w:line="240"/>
        <w:ind w:left="432" w:hanging="432"/>
        <w:jc w:val="both"/>
      </w:pPr>
      <w:r>
        <w:rPr>
          <w:rFonts w:ascii="Times New Roman" w:hAnsi="Times New Roman"/>
          <w:b w:val="0"/>
          <w:i w:val="0"/>
          <w:sz w:val="18"/>
        </w:rPr>
        <w:t>[2] A. Feldman, J. A. Halderman, and E. W. Felten, "Security analysis of the Diebold AccuVote-TS voting machine," in Proc. USENIX/ACCURATE EVT, 2007.</w:t>
      </w:r>
    </w:p>
    <w:p>
      <w:pPr>
        <w:spacing w:before="0" w:after="40" w:lineRule="exact" w:line="240"/>
        <w:ind w:left="432" w:hanging="432"/>
        <w:jc w:val="both"/>
      </w:pPr>
      <w:r>
        <w:rPr>
          <w:rFonts w:ascii="Times New Roman" w:hAnsi="Times New Roman"/>
          <w:b w:val="0"/>
          <w:i w:val="0"/>
          <w:sz w:val="18"/>
        </w:rPr>
        <w:t>[3] S. Nakamoto, "Bitcoin: A peer-to-peer electronic cash system," 2008.</w:t>
      </w:r>
    </w:p>
    <w:p>
      <w:pPr>
        <w:spacing w:before="0" w:after="40" w:lineRule="exact" w:line="240"/>
        <w:ind w:left="432" w:hanging="432"/>
        <w:jc w:val="both"/>
      </w:pPr>
      <w:r>
        <w:rPr>
          <w:rFonts w:ascii="Times New Roman" w:hAnsi="Times New Roman"/>
          <w:b w:val="0"/>
          <w:i w:val="0"/>
          <w:sz w:val="18"/>
        </w:rPr>
        <w:t>[4] V. Buterin, "A next-generation smart contract and decentralized application platform," Ethereum White Paper, 2014.</w:t>
      </w:r>
    </w:p>
    <w:p>
      <w:pPr>
        <w:spacing w:before="0" w:after="40" w:lineRule="exact" w:line="240"/>
        <w:ind w:left="432" w:hanging="432"/>
        <w:jc w:val="both"/>
      </w:pPr>
      <w:r>
        <w:rPr>
          <w:rFonts w:ascii="Times New Roman" w:hAnsi="Times New Roman"/>
          <w:b w:val="0"/>
          <w:i w:val="0"/>
          <w:sz w:val="18"/>
        </w:rPr>
        <w:t>[5] D. Chaum, "Untraceable electronic mail, return addresses, and digital pseudonyms," CACM, vol. 24, no. 2, pp. 84–90, 1981.</w:t>
      </w:r>
    </w:p>
    <w:p>
      <w:pPr>
        <w:spacing w:before="0" w:after="40" w:lineRule="exact" w:line="240"/>
        <w:ind w:left="432" w:hanging="432"/>
        <w:jc w:val="both"/>
      </w:pPr>
      <w:r>
        <w:rPr>
          <w:rFonts w:ascii="Times New Roman" w:hAnsi="Times New Roman"/>
          <w:b w:val="0"/>
          <w:i w:val="0"/>
          <w:sz w:val="18"/>
        </w:rPr>
        <w:t>[6] B. Adida, "Helios: Web-based open-audit voting," in Proc. 17th USENIX Security Symposium, 2008, pp. 335–348.</w:t>
      </w:r>
    </w:p>
    <w:p>
      <w:pPr>
        <w:spacing w:before="0" w:after="40" w:lineRule="exact" w:line="240"/>
        <w:ind w:left="432" w:hanging="432"/>
        <w:jc w:val="both"/>
      </w:pPr>
      <w:r>
        <w:rPr>
          <w:rFonts w:ascii="Times New Roman" w:hAnsi="Times New Roman"/>
          <w:b w:val="0"/>
          <w:i w:val="0"/>
          <w:sz w:val="18"/>
        </w:rPr>
        <w:t>[7] Z. Zhao and T.-H. H. Chan, "How to vote privately using Bitcoin," in Proc. ICICS, 2015, pp. 82–96.</w:t>
      </w:r>
    </w:p>
    <w:p>
      <w:pPr>
        <w:spacing w:before="0" w:after="40" w:lineRule="exact" w:line="240"/>
        <w:ind w:left="432" w:hanging="432"/>
        <w:jc w:val="both"/>
      </w:pPr>
      <w:r>
        <w:rPr>
          <w:rFonts w:ascii="Times New Roman" w:hAnsi="Times New Roman"/>
          <w:b w:val="0"/>
          <w:i w:val="0"/>
          <w:sz w:val="18"/>
        </w:rPr>
        <w:t>[8] P. McCorry, S. F. Shahandashti, and F. Hao, "A smart contract for boardroom voting with maximum voter privacy," in Proc. FC, 2017, pp. 357–375.</w:t>
      </w:r>
    </w:p>
    <w:p>
      <w:pPr>
        <w:spacing w:before="0" w:after="40" w:lineRule="exact" w:line="240"/>
        <w:ind w:left="432" w:hanging="432"/>
        <w:jc w:val="both"/>
      </w:pPr>
      <w:r>
        <w:rPr>
          <w:rFonts w:ascii="Times New Roman" w:hAnsi="Times New Roman"/>
          <w:b w:val="0"/>
          <w:i w:val="0"/>
          <w:sz w:val="18"/>
        </w:rPr>
        <w:t>[9] F. H. Hjálmarsson et al., "Blockchain-based e-voting system," in Proc. IEEE CLOUD, 2018, pp. 983–986.</w:t>
      </w:r>
    </w:p>
    <w:p>
      <w:pPr>
        <w:spacing w:before="0" w:after="40" w:lineRule="exact" w:line="240"/>
        <w:ind w:left="432" w:hanging="432"/>
        <w:jc w:val="both"/>
      </w:pPr>
      <w:r>
        <w:rPr>
          <w:rFonts w:ascii="Times New Roman" w:hAnsi="Times New Roman"/>
          <w:b w:val="0"/>
          <w:i w:val="0"/>
          <w:sz w:val="18"/>
        </w:rPr>
        <w:t>[10] M. Pawlak, A. Poniszewska-Marańda, and N. Kryvinska, "Towards the blockchain technology for ensuring the security of data exchange in cloud environments," Future Generation Computer Systems, vol. 102, pp. 143–151, 2020.</w:t>
      </w:r>
    </w:p>
    <w:p>
      <w:pPr>
        <w:spacing w:before="0" w:after="40" w:lineRule="exact" w:line="240"/>
        <w:ind w:left="432" w:hanging="432"/>
        <w:jc w:val="both"/>
      </w:pPr>
      <w:r>
        <w:rPr>
          <w:rFonts w:ascii="Times New Roman" w:hAnsi="Times New Roman"/>
          <w:b w:val="0"/>
          <w:i w:val="0"/>
          <w:sz w:val="18"/>
        </w:rPr>
        <w:t>[11] N. Kshetri and J. Voas, "Blockchain-enabled e-voting," IEEE Software, vol. 35, no. 4, pp. 95–99, 2018.</w:t>
      </w:r>
    </w:p>
    <w:p>
      <w:pPr>
        <w:spacing w:before="0" w:after="40" w:lineRule="exact" w:line="240"/>
        <w:ind w:left="432" w:hanging="432"/>
        <w:jc w:val="both"/>
      </w:pPr>
      <w:r>
        <w:rPr>
          <w:rFonts w:ascii="Times New Roman" w:hAnsi="Times New Roman"/>
          <w:b w:val="0"/>
          <w:i w:val="0"/>
          <w:sz w:val="18"/>
        </w:rPr>
        <w:t>[12] S. Wang et al., "Blockchain-enabled smart contracts," IEEE Trans. Systems, Man, Cybernetics, vol. 49, no. 11, pp. 2266–2277, 2019.</w:t>
      </w:r>
    </w:p>
    <w:p>
      <w:pPr>
        <w:spacing w:before="0" w:after="40" w:lineRule="exact" w:line="240"/>
        <w:ind w:left="432" w:hanging="432"/>
        <w:jc w:val="both"/>
      </w:pPr>
      <w:r>
        <w:rPr>
          <w:rFonts w:ascii="Times New Roman" w:hAnsi="Times New Roman"/>
          <w:b w:val="0"/>
          <w:i w:val="0"/>
          <w:sz w:val="18"/>
        </w:rPr>
        <w:t>[13] M. R. Clarkson, S. Chong, and A. C. Myers, "Civitas: Toward a secure voting system," in Proc. IEEE S&amp;P, 2008, pp. 354–368. DOI: 10.1109/SP.2008.21</w:t>
      </w:r>
    </w:p>
    <w:p>
      <w:pPr>
        <w:spacing w:before="0" w:after="40" w:lineRule="exact" w:line="240"/>
        <w:ind w:left="432" w:hanging="432"/>
        <w:jc w:val="both"/>
      </w:pPr>
      <w:r>
        <w:rPr>
          <w:rFonts w:ascii="Times New Roman" w:hAnsi="Times New Roman"/>
          <w:b w:val="0"/>
          <w:i w:val="0"/>
          <w:sz w:val="18"/>
        </w:rPr>
        <w:t>[14] B. Adida, O. de Marneffe, O. Pereira, and J. Quisquater, "Electing a university president using open-audit voting: Analysis of real-world use of Helios," in Proc. USENIX EVT/WOTE, 2009.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