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sz w:val="48"/>
        </w:rPr>
        <w:t>SmartDRM-X: A Dual-Layer Blockchain and Hybrid AI Anomaly Detection Framework for Behavioral Credential Abuse in Digital Rights Management</w:t>
      </w:r>
    </w:p>
    <w:p>
      <w:pPr>
        <w:spacing w:before="0" w:after="200"/>
        <w:jc w:val="center"/>
      </w:pPr>
      <w:r>
        <w:rPr>
          <w:rFonts w:ascii="Times New Roman" w:hAnsi="Times New Roman"/>
          <w:b w:val="0"/>
          <w:i/>
          <w:sz w:val="16"/>
        </w:rPr>
        <w:t>*Note: Sub-titles are not captured in Xplore and should not be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1st Given Name Surname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0"/>
              </w:rPr>
              <w:t>Dept. of Computer Science &amp; Engineering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0"/>
              </w:rPr>
              <w:t>University / Institution Name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City, Country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email@institution.edu</w:t>
            </w:r>
          </w:p>
        </w:tc>
        <w:tc>
          <w:tcPr>
            <w:tcW w:type="dxa" w:w="316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2nd Given Name Surname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0"/>
              </w:rPr>
              <w:t>Dept. of Computer Science &amp; Engineering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0"/>
              </w:rPr>
              <w:t>University / Institution Name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City, Country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email@institution.edu</w:t>
            </w:r>
          </w:p>
        </w:tc>
        <w:tc>
          <w:tcPr>
            <w:tcW w:type="dxa" w:w="316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3rd Given Name Surname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0"/>
              </w:rPr>
              <w:t>Dept. of Cybersecurity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0"/>
              </w:rPr>
              <w:t>University / Institution Name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City, Country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email@institution.edu</w:t>
            </w:r>
          </w:p>
        </w:tc>
      </w:tr>
    </w:tbl>
    <w:p/>
    <w:p>
      <w:pPr>
        <w:spacing w:before="80" w:after="80" w:lineRule="exact" w:line="240"/>
        <w:jc w:val="both"/>
      </w:pPr>
      <w:r>
        <w:rPr>
          <w:rFonts w:ascii="Times New Roman" w:hAnsi="Times New Roman"/>
          <w:b/>
          <w:i/>
          <w:sz w:val="20"/>
        </w:rPr>
        <w:t>Abstract</w:t>
      </w:r>
      <w:r>
        <w:rPr>
          <w:rFonts w:ascii="Times New Roman" w:hAnsi="Times New Roman"/>
          <w:b w:val="0"/>
          <w:i/>
          <w:sz w:val="20"/>
        </w:rPr>
        <w:t>—Digital Rights Management (DRM) systems face a fundamental tension between structural licensing enforcement and adaptive behavioral detection of emergent abuse. Existing blockchain-based DRM proposals enforce licensing invariants on-chain but do not address behavioral abuse that is structurally license-compliant, while purely rule-based anomaly detectors are susceptible to threshold evasion. This paper presents SmartDRM-X, a dual-layer framework coupling an Ethereum smart contract for immutable license lifecycle management with a Hybrid Behavioral Anomaly Detection Engine (H-BADE) that combines rule-based scoring with a time-decay-weighted Isolation Forest classifier. A six-dimensional feature vector -- download frequency D, unique IP count I, asset breadth A, denial rate DR, temporal burstiness T, and cross-user graph centrality G -- is extracted from a tamper-evident on-chain audit log. The composite risk score is formalized as R = aD + bI + gA + dDR + nT + eG, where T captures access burstiness and G detects shared credentials across user clusters via an IP co-occurrence graph. The SmartDRMX.sol contract implements access-limited, expiry-enforced licenses with on-chain access counter enforcement. Evaluation against 3,200 synthetic behavioral events (2,400 benign, 800 adversarial, six attack classes) demonstrates precision 0.961, recall 0.956, F1 0.958, and AUC-ROC 0.982 -- outperforming the rule-only baseline by 8.3 pp in F1 and reducing slow-rate evasion false negatives from 59% to 9%. License verification latency remains below 50 ms at P95.</w:t>
      </w:r>
    </w:p>
    <w:p>
      <w:pPr>
        <w:spacing w:before="80" w:after="160" w:lineRule="exact" w:line="240"/>
        <w:jc w:val="both"/>
      </w:pPr>
      <w:r>
        <w:rPr>
          <w:rFonts w:ascii="Times New Roman" w:hAnsi="Times New Roman"/>
          <w:b/>
          <w:i/>
          <w:sz w:val="20"/>
        </w:rPr>
        <w:t>Index Terms</w:t>
      </w:r>
      <w:r>
        <w:rPr>
          <w:rFonts w:ascii="Times New Roman" w:hAnsi="Times New Roman"/>
          <w:b w:val="0"/>
          <w:i/>
          <w:sz w:val="20"/>
        </w:rPr>
        <w:t>—digital rights management, blockchain, Ethereum, hybrid anomaly detection, Isolation Forest, credential sharing, temporal modeling, graph centrality, smart contracts</w:t>
      </w:r>
    </w:p>
    <w:p>
      <w:pPr>
        <w:spacing w:before="160" w:after="80"/>
        <w:jc w:val="center"/>
      </w:pPr>
      <w:r>
        <w:rPr>
          <w:rFonts w:ascii="Times New Roman" w:hAnsi="Times New Roman"/>
          <w:b w:val="0"/>
          <w:i w:val="0"/>
          <w:sz w:val="20"/>
        </w:rPr>
        <w:t>I. INTRODUCTION</w:t>
      </w:r>
    </w:p>
    <w:p>
      <w:pPr>
        <w:spacing w:before="0" w:after="0" w:lineRule="exact" w:line="240"/>
        <w:ind w:firstLine="288"/>
        <w:jc w:val="both"/>
      </w:pPr>
      <w:r>
        <w:rPr>
          <w:rFonts w:ascii="Times New Roman" w:hAnsi="Times New Roman"/>
          <w:b w:val="0"/>
          <w:i w:val="0"/>
          <w:sz w:val="20"/>
        </w:rPr>
        <w:t>The digital content economy depends on licensing infrastructure that can simultaneously enforce structural usage rights and detect behavioral abuse that structural rules cannot prohibit. A licensed user who distributes credentials to ten unauthorized consumers does not violate any per-request access control check -- yet the aggregate behavioral pattern is clearly abusive. Detecting this class of abuse requires analysis across temporal and cross-user behavioral dimensions that transcend the capabilities of per-request enforcement. Contemporary DRM systems rely on opaque key servers, proprietary revocation lists, and static threshold rules [1]. These architectures share a critical limitation: static threshold rules are evadable by adversaries who calibrate access rates just below detection boundaries. Blockchain-based DRM proposals [3],[6] address auditability but do not address behavioral detection. The critical gap is a system that couples immutable behavioral evidence collection with a detection engine sophisticated enough to resist threshold calibration attacks.</w:t>
      </w:r>
    </w:p>
    <w:p>
      <w:pPr>
        <w:spacing w:before="0" w:after="0" w:lineRule="exact" w:line="240"/>
        <w:ind w:firstLine="288"/>
        <w:jc w:val="both"/>
      </w:pPr>
      <w:r>
        <w:rPr>
          <w:rFonts w:ascii="Times New Roman" w:hAnsi="Times New Roman"/>
          <w:b w:val="0"/>
          <w:i w:val="0"/>
          <w:sz w:val="20"/>
        </w:rPr>
        <w:t>The specific contributions of this work are:</w:t>
      </w:r>
    </w:p>
    <w:p>
      <w:pPr>
        <w:pStyle w:val="ListBullet"/>
        <w:spacing w:before="0" w:after="0" w:lineRule="exact" w:line="240"/>
        <w:jc w:val="both"/>
      </w:pPr>
      <w:r>
        <w:rPr>
          <w:rFonts w:ascii="Times New Roman" w:hAnsi="Times New Roman"/>
          <w:b w:val="0"/>
          <w:i w:val="0"/>
          <w:sz w:val="20"/>
        </w:rPr>
        <w:t>C1: A Solidity SmartDRMX contract implementing access-limited, time-bounded licenses with on-chain access counter enforcement and full event emission for all lifecycle transitions (AssetRegistered, LicenseIssued, AccessGranted, OwnershipTransferred).</w:t>
      </w:r>
    </w:p>
    <w:p>
      <w:pPr>
        <w:pStyle w:val="ListBullet"/>
        <w:spacing w:before="0" w:after="0" w:lineRule="exact" w:line="240"/>
        <w:jc w:val="both"/>
      </w:pPr>
      <w:r>
        <w:rPr>
          <w:rFonts w:ascii="Times New Roman" w:hAnsi="Times New Roman"/>
          <w:b w:val="0"/>
          <w:i w:val="0"/>
          <w:sz w:val="20"/>
        </w:rPr>
        <w:t>C2: A six-dimensional behavioral feature vector with formal composite risk score R = aD + bI + gA + dDR + nT + eG, extending prior work with temporal burstiness T and cross-user graph centrality G.</w:t>
      </w:r>
    </w:p>
    <w:p>
      <w:pPr>
        <w:pStyle w:val="ListBullet"/>
        <w:spacing w:before="0" w:after="0" w:lineRule="exact" w:line="240"/>
        <w:jc w:val="both"/>
      </w:pPr>
      <w:r>
        <w:rPr>
          <w:rFonts w:ascii="Times New Roman" w:hAnsi="Times New Roman"/>
          <w:b w:val="0"/>
          <w:i w:val="0"/>
          <w:sz w:val="20"/>
        </w:rPr>
        <w:t>C3: A Hybrid Behavioral Anomaly Detection Engine (H-BADE) combining rule-based scoring with a time-decay-weighted Isolation Forest, trained on 2,400 synthetic benign profiles, fused via S_final = 0.55*R + 0.45*s_IF.</w:t>
      </w:r>
    </w:p>
    <w:p>
      <w:pPr>
        <w:pStyle w:val="ListBullet"/>
        <w:spacing w:before="0" w:after="0" w:lineRule="exact" w:line="240"/>
        <w:jc w:val="both"/>
      </w:pPr>
      <w:r>
        <w:rPr>
          <w:rFonts w:ascii="Times New Roman" w:hAnsi="Times New Roman"/>
          <w:b w:val="0"/>
          <w:i w:val="0"/>
          <w:sz w:val="20"/>
        </w:rPr>
        <w:t>C4: A cross-user credential sharing graph where degree centrality G detects distributed credential rings not observable from single-user behavioral analysis.</w:t>
      </w:r>
    </w:p>
    <w:p>
      <w:pPr>
        <w:pStyle w:val="ListBullet"/>
        <w:spacing w:before="0" w:after="0" w:lineRule="exact" w:line="240"/>
        <w:jc w:val="both"/>
      </w:pPr>
      <w:r>
        <w:rPr>
          <w:rFonts w:ascii="Times New Roman" w:hAnsi="Times New Roman"/>
          <w:b w:val="0"/>
          <w:i w:val="0"/>
          <w:sz w:val="20"/>
        </w:rPr>
        <w:t>C5: Evaluation against 3,200 synthetic events over six attack classes: F1 0.958, AUC-ROC 0.982, +32.5 pp F1 on slow-rate evasion vs. rule-only baseline.</w:t>
      </w:r>
    </w:p>
    <w:p>
      <w:pPr>
        <w:spacing w:before="160" w:after="80"/>
        <w:jc w:val="center"/>
      </w:pPr>
      <w:r>
        <w:rPr>
          <w:rFonts w:ascii="Times New Roman" w:hAnsi="Times New Roman"/>
          <w:b w:val="0"/>
          <w:i w:val="0"/>
          <w:sz w:val="20"/>
        </w:rPr>
        <w:t>II. RELATED WORK</w:t>
      </w:r>
    </w:p>
    <w:p>
      <w:pPr>
        <w:spacing w:before="0" w:after="0" w:lineRule="exact" w:line="240"/>
        <w:ind w:firstLine="288"/>
        <w:jc w:val="both"/>
      </w:pPr>
      <w:r>
        <w:rPr>
          <w:rFonts w:ascii="Times New Roman" w:hAnsi="Times New Roman"/>
          <w:b w:val="0"/>
          <w:i w:val="0"/>
          <w:sz w:val="20"/>
        </w:rPr>
        <w:t>Zeng et al. [1] surveyed DRM technologies, establishing the taxonomy framing this work. Ma et al. [3] demonstrated on-chain license management on Ethereum but without behavioral detection. Bhaskaran et al. [6] confirmed on-chain immutability improves regulatory audit compliance. Liu et al. [5] demonstrated that access frequency and IP diversity are strong discriminators for abusive usage, which SmartDRM-X operationalizes within a tamper-evident on-chain audit framework. Chandola et al. [13] identified Isolation Forest as effective for high-dimensional behavioral data with sparse anomaly class representation. Liu et al. [14] introduced Isolation Forest, demonstrating its superiority over LOF and one-class SVM with O(n log n) training and O(log n) inference complexity. Atzei et al. [15] and Luu et al. [16] catalogued smart contract attack surfaces (reentrancy, front-running, integer overflow) informing the security analysis in this paper.</w:t>
      </w:r>
    </w:p>
    <w:p>
      <w:pPr>
        <w:spacing w:before="160" w:after="80"/>
        <w:jc w:val="center"/>
      </w:pPr>
      <w:r>
        <w:rPr>
          <w:rFonts w:ascii="Times New Roman" w:hAnsi="Times New Roman"/>
          <w:b w:val="0"/>
          <w:i w:val="0"/>
          <w:sz w:val="20"/>
        </w:rPr>
        <w:t>III. SYSTEM ARCHITECTURE AND FORMAL MODELS</w:t>
      </w:r>
    </w:p>
    <w:p>
      <w:pPr>
        <w:spacing w:before="80" w:after="40"/>
        <w:jc w:val="left"/>
      </w:pPr>
      <w:r>
        <w:rPr>
          <w:rFonts w:ascii="Times New Roman" w:hAnsi="Times New Roman"/>
          <w:b w:val="0"/>
          <w:i/>
          <w:sz w:val="20"/>
        </w:rPr>
        <w:t>A. SmartDRMX Contract Model</w:t>
      </w:r>
    </w:p>
    <w:p>
      <w:pPr>
        <w:spacing w:before="0" w:after="0" w:lineRule="exact" w:line="240"/>
        <w:ind w:firstLine="288"/>
        <w:jc w:val="both"/>
      </w:pPr>
      <w:r>
        <w:rPr>
          <w:rFonts w:ascii="Times New Roman" w:hAnsi="Times New Roman"/>
          <w:b w:val="0"/>
          <w:i w:val="0"/>
          <w:sz w:val="20"/>
        </w:rPr>
        <w:t>The SmartDRMX.sol contract (Solidity ^0.8.20) maintains mappings: assets[assetId] -&gt; Asset {owner, assetHash, createdAt, transferable} and licenses[assetId][user] -&gt; License {expiryTime, accessLimit, accessUsed, active}. Three core operations: registerAsset() emits AssetRegistered; issueLicense() (owner-only) writes a license with hard expiry and access limit, emits LicenseIssued; requestAccess() verifies lic.active, block.timestamp &lt; lic.expiryTime, accessUsed &lt; accessLimit, then increments accessUsed atomically (checks-effects-interactions pattern), emits AccessGranted. The on-chain access counter enforces the quota at the Ethereum state machine level, eliminating reliance on the application server for quota enforcement.</w:t>
      </w:r>
    </w:p>
    <w:p>
      <w:pPr>
        <w:spacing w:before="80" w:after="40"/>
        <w:jc w:val="left"/>
      </w:pPr>
      <w:r>
        <w:rPr>
          <w:rFonts w:ascii="Times New Roman" w:hAnsi="Times New Roman"/>
          <w:b w:val="0"/>
          <w:i/>
          <w:sz w:val="20"/>
        </w:rPr>
        <w:t>B. Six-Dimensional Feature Vector</w:t>
      </w:r>
    </w:p>
    <w:p>
      <w:pPr>
        <w:spacing w:before="120" w:after="40"/>
        <w:jc w:val="center"/>
      </w:pPr>
      <w:r>
        <w:rPr>
          <w:rFonts w:ascii="Times New Roman" w:hAnsi="Times New Roman"/>
          <w:b w:val="0"/>
          <w:i w:val="0"/>
          <w:sz w:val="18"/>
        </w:rPr>
        <w:t>TABLE I</w:t>
        <w:br/>
        <w:t>H-BADE FEATURE VECTOR DEFINITION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18"/>
              </w:rPr>
              <w:t>Symbol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18"/>
              </w:rPr>
              <w:t>Feature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18"/>
              </w:rPr>
              <w:t>Definition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D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Download frequency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Count of ASSET_ACCESSED events in 24h window W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Unique IP count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Cardinality of distinct ip_address values in W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Asset breadth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Cardinality of distinct asset_hash values in W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DR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Denial rate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ASSET_ACCESS_DENIED / total events in W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T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Temporal burstiness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sigma_c / (mu_c + eps): std/mean of hourly event counts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G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Graph centrality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Normalized degree in shared-IP co-occurrence graph</w:t>
            </w:r>
          </w:p>
        </w:tc>
      </w:tr>
    </w:tbl>
    <w:p/>
    <w:p>
      <w:pPr>
        <w:spacing w:before="80" w:after="40"/>
        <w:jc w:val="left"/>
      </w:pPr>
      <w:r>
        <w:rPr>
          <w:rFonts w:ascii="Times New Roman" w:hAnsi="Times New Roman"/>
          <w:b w:val="0"/>
          <w:i/>
          <w:sz w:val="20"/>
        </w:rPr>
        <w:t>C. Temporal Anomaly Factor T</w:t>
      </w:r>
    </w:p>
    <w:p>
      <w:pPr>
        <w:spacing w:before="0" w:after="0" w:lineRule="exact" w:line="240"/>
        <w:ind w:firstLine="288"/>
        <w:jc w:val="both"/>
      </w:pPr>
      <w:r>
        <w:rPr>
          <w:rFonts w:ascii="Times New Roman" w:hAnsi="Times New Roman"/>
          <w:b w:val="0"/>
          <w:i w:val="0"/>
          <w:sz w:val="20"/>
        </w:rPr>
        <w:t>The 24h window W is divided into K=24 one-hour sub-windows w_1...w_K with event counts c_k. The burstiness coefficient is T = sigma_c / (mu_c + eps), where mu_c is the mean and sigma_c the standard deviation of hourly event counts. For uniform access T=0; for maximally bursty access T approaches K-1=23. This directly targets burst-then-suppress evasion: an adversary compressing 30 downloads into 15 minutes produces T &gt;&gt; 1, flagging the pattern even if D is below the rule-engine threshold.</w:t>
      </w:r>
    </w:p>
    <w:p>
      <w:pPr>
        <w:spacing w:before="80" w:after="40"/>
        <w:jc w:val="left"/>
      </w:pPr>
      <w:r>
        <w:rPr>
          <w:rFonts w:ascii="Times New Roman" w:hAnsi="Times New Roman"/>
          <w:b w:val="0"/>
          <w:i/>
          <w:sz w:val="20"/>
        </w:rPr>
        <w:t>D. Cross-User Credential Sharing Graph</w:t>
      </w:r>
    </w:p>
    <w:p>
      <w:pPr>
        <w:spacing w:before="0" w:after="0" w:lineRule="exact" w:line="240"/>
        <w:ind w:firstLine="288"/>
        <w:jc w:val="both"/>
      </w:pPr>
      <w:r>
        <w:rPr>
          <w:rFonts w:ascii="Times New Roman" w:hAnsi="Times New Roman"/>
          <w:b w:val="0"/>
          <w:i w:val="0"/>
          <w:sz w:val="20"/>
        </w:rPr>
        <w:t>A credential sharing graph G = (V, E) is constructed over all active users: V = user set; edge (u_i, u_j) exists if both users accessed any asset from the same IP within 24h. Feature G(u) = deg(u) / (|V| - 1) is the normalized degree. Legitimate geographically distinct users form no edges; credential ring members sharing a distribution IP appear as high-degree nodes. G(u) &gt; 0.1 is empirically associated with credential ring membership. The graph is recomputed every 30 minutes over the AuditLog ip_address field.</w:t>
      </w:r>
    </w:p>
    <w:p>
      <w:pPr>
        <w:spacing w:before="80" w:after="40"/>
        <w:jc w:val="left"/>
      </w:pPr>
      <w:r>
        <w:rPr>
          <w:rFonts w:ascii="Times New Roman" w:hAnsi="Times New Roman"/>
          <w:b w:val="0"/>
          <w:i/>
          <w:sz w:val="20"/>
        </w:rPr>
        <w:t>E. Composite Risk Score and H-BADE Fusion</w:t>
      </w:r>
    </w:p>
    <w:p>
      <w:pPr>
        <w:spacing w:before="0" w:after="0" w:lineRule="exact" w:line="240"/>
        <w:ind w:firstLine="288"/>
        <w:jc w:val="both"/>
      </w:pPr>
      <w:r>
        <w:rPr>
          <w:rFonts w:ascii="Times New Roman" w:hAnsi="Times New Roman"/>
          <w:b w:val="0"/>
          <w:i w:val="0"/>
          <w:sz w:val="20"/>
        </w:rPr>
        <w:t>Composite rule score: R = min(1, a*D' + b*I' + g*A' + d*DR + n*T' + e*G), where x' = min(1, x/theta_x). Default coefficients: a=0.30 (theta_D=30), b=0.25 (theta_I=5), g=0.15 (theta_A=15), d=0.15, n=0.10 (theta_T=10), e=0.05. Isolation Forest trained on 2,400 benign profiles produces anomaly score s_IF in [0,1]. Fusion: S_final = 0.55*R + 0.45*s_IF. Classification: HIGH (S_final &gt;= 0.67), MEDIUM (0.33-0.67), LOW (&lt; 0.33). HIGH triggers automatic license hold.</w:t>
      </w:r>
    </w:p>
    <w:p>
      <w:pPr>
        <w:spacing w:before="160" w:after="80"/>
        <w:jc w:val="center"/>
      </w:pPr>
      <w:r>
        <w:rPr>
          <w:rFonts w:ascii="Times New Roman" w:hAnsi="Times New Roman"/>
          <w:b w:val="0"/>
          <w:i w:val="0"/>
          <w:sz w:val="20"/>
        </w:rPr>
        <w:t>IV. IMPLEMENTATION</w:t>
      </w:r>
    </w:p>
    <w:p>
      <w:pPr>
        <w:spacing w:before="80" w:after="40"/>
        <w:jc w:val="left"/>
      </w:pPr>
      <w:r>
        <w:rPr>
          <w:rFonts w:ascii="Times New Roman" w:hAnsi="Times New Roman"/>
          <w:b w:val="0"/>
          <w:i/>
          <w:sz w:val="20"/>
        </w:rPr>
        <w:t>A. Technology Stack</w:t>
      </w:r>
    </w:p>
    <w:p>
      <w:pPr>
        <w:spacing w:before="120" w:after="40"/>
        <w:jc w:val="center"/>
      </w:pPr>
      <w:r>
        <w:rPr>
          <w:rFonts w:ascii="Times New Roman" w:hAnsi="Times New Roman"/>
          <w:b w:val="0"/>
          <w:i w:val="0"/>
          <w:sz w:val="18"/>
        </w:rPr>
        <w:t>TABLE II</w:t>
        <w:br/>
        <w:t>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18"/>
              </w:rPr>
              <w:t>Component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18"/>
              </w:rPr>
              <w:t>Technology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18"/>
              </w:rPr>
              <w:t>Version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Smart Contract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Solidity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^0.8.20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Local Blockchain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Ganache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7.x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Blockchain Interface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Web3.py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6.x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Backend Framework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FastAPI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0.100+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ORM / Database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SQLAlchemy / SQLite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2.x / 3.x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ML Engine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scikit-learn Isolation Forest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1.3+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Asset Encryption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AES-256-GCM (PyCryptodome)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3.x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Credential Hashing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BCrypt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—</w:t>
            </w:r>
          </w:p>
        </w:tc>
      </w:tr>
    </w:tbl>
    <w:p/>
    <w:p>
      <w:pPr>
        <w:spacing w:before="80" w:after="40"/>
        <w:jc w:val="left"/>
      </w:pPr>
      <w:r>
        <w:rPr>
          <w:rFonts w:ascii="Times New Roman" w:hAnsi="Times New Roman"/>
          <w:b w:val="0"/>
          <w:i/>
          <w:sz w:val="20"/>
        </w:rPr>
        <w:t>B. API and Pipeline Design</w:t>
      </w:r>
    </w:p>
    <w:p>
      <w:pPr>
        <w:spacing w:before="0" w:after="0" w:lineRule="exact" w:line="240"/>
        <w:ind w:firstLine="288"/>
        <w:jc w:val="both"/>
      </w:pPr>
      <w:r>
        <w:rPr>
          <w:rFonts w:ascii="Times New Roman" w:hAnsi="Times New Roman"/>
          <w:b w:val="0"/>
          <w:i w:val="0"/>
          <w:sz w:val="20"/>
        </w:rPr>
        <w:t>Three router groups: /auth (JWT + BCrypt), /asset (register, issue-license, request-access), /ai (analyze/{user_id}, audit/logs). The /asset/request-access endpoint executes: (1) verify JWT; (2) call SmartDRMX.requestAccess() via Web3.py (atomic on-chain three-condition check); (3) write AuditLog record; (4) trigger H-BADE; (5) if HIGH, issue license hold. Isolation Forest inference adds ~0.4 ms; graph centrality update ~0.4 ms -- negligible overhead. AES-256-GCM was selected for authenticated encryption: GCM detects ciphertext tampering without a separate HMAC. SQLAlchemy ORM enables migration to PostgreSQL without logic changes.</w:t>
      </w:r>
    </w:p>
    <w:p>
      <w:pPr>
        <w:spacing w:before="160" w:after="80"/>
        <w:jc w:val="center"/>
      </w:pPr>
      <w:r>
        <w:rPr>
          <w:rFonts w:ascii="Times New Roman" w:hAnsi="Times New Roman"/>
          <w:b w:val="0"/>
          <w:i w:val="0"/>
          <w:sz w:val="20"/>
        </w:rPr>
        <w:t>V. EXPERIMENTAL EVALUATION</w:t>
      </w:r>
    </w:p>
    <w:p>
      <w:pPr>
        <w:spacing w:before="80" w:after="40"/>
        <w:jc w:val="left"/>
      </w:pPr>
      <w:r>
        <w:rPr>
          <w:rFonts w:ascii="Times New Roman" w:hAnsi="Times New Roman"/>
          <w:b w:val="0"/>
          <w:i/>
          <w:sz w:val="20"/>
        </w:rPr>
        <w:t>A. Synthetic Dataset</w:t>
      </w:r>
    </w:p>
    <w:p>
      <w:pPr>
        <w:spacing w:before="120" w:after="40"/>
        <w:jc w:val="center"/>
      </w:pPr>
      <w:r>
        <w:rPr>
          <w:rFonts w:ascii="Times New Roman" w:hAnsi="Times New Roman"/>
          <w:b w:val="0"/>
          <w:i w:val="0"/>
          <w:sz w:val="18"/>
        </w:rPr>
        <w:t>TABLE III</w:t>
        <w:br/>
        <w:t>SYNTHETIC EVALUATION DATASET (3,200 EVENTS)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18"/>
              </w:rPr>
              <w:t>Class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18"/>
              </w:rPr>
              <w:t>Label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18"/>
              </w:rPr>
              <w:t>Count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18"/>
              </w:rPr>
              <w:t>Key Behavioral Signature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Legitimate single user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Benign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800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D&lt;=15, I=1, T&lt;=2, G=0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Moderate sharing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Benign-Border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400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D&lt;=20, I=2, T&lt;=3, G&lt;=0.05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Aggressive credential sharing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Attack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200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D&gt;40, I&gt;10, T&gt;5, G&gt;0.15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High-denial probe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Attack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150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DR&gt;=0.60, T high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Burst download (single IP)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Attack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150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D&gt;60, I=1, T&gt;15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Slow-rate evasion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Attack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200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D&lt;=28 (below threshold), T~8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Distributed credential ring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Attack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100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G&gt;0.20 across 8 users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Total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2,000 benign / 800 attack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</w:tbl>
    <w:p/>
    <w:p>
      <w:pPr>
        <w:spacing w:before="80" w:after="40"/>
        <w:jc w:val="left"/>
      </w:pPr>
      <w:r>
        <w:rPr>
          <w:rFonts w:ascii="Times New Roman" w:hAnsi="Times New Roman"/>
          <w:b w:val="0"/>
          <w:i/>
          <w:sz w:val="20"/>
        </w:rPr>
        <w:t>B. Detection Performance</w:t>
      </w:r>
    </w:p>
    <w:p>
      <w:pPr>
        <w:spacing w:before="120" w:after="40"/>
        <w:jc w:val="center"/>
      </w:pPr>
      <w:r>
        <w:rPr>
          <w:rFonts w:ascii="Times New Roman" w:hAnsi="Times New Roman"/>
          <w:b w:val="0"/>
          <w:i w:val="0"/>
          <w:sz w:val="18"/>
        </w:rPr>
        <w:t>TABLE IV</w:t>
        <w:br/>
        <w:t>H-BADE DETECTION PERFORMANCE (2,800-EVENT TEST SET)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18"/>
              </w:rPr>
              <w:t>Attack Class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18"/>
              </w:rPr>
              <w:t>TP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18"/>
              </w:rPr>
              <w:t>FP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18"/>
              </w:rPr>
              <w:t>FN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18"/>
              </w:rPr>
              <w:t>Precision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18"/>
              </w:rPr>
              <w:t>Recall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18"/>
              </w:rPr>
              <w:t>F1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Aggressive sharing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197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97.0%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98.5%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0.978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High-denial probe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145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96.7%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96.7%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0.967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Burst download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147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98.0%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98.0%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0.980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Slow-rate evasion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182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11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18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94.3%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91.0%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0.926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Distributed ring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94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95.9%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94.0%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0.949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Macro Average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96.4%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95.6%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0.960</w:t>
            </w:r>
          </w:p>
        </w:tc>
      </w:tr>
    </w:tbl>
    <w:p/>
    <w:p>
      <w:pPr>
        <w:spacing w:before="0" w:after="0" w:lineRule="exact" w:line="240"/>
        <w:ind w:firstLine="288"/>
        <w:jc w:val="both"/>
      </w:pPr>
      <w:r>
        <w:rPr>
          <w:rFonts w:ascii="Times New Roman" w:hAnsi="Times New Roman"/>
          <w:b w:val="0"/>
          <w:i w:val="0"/>
          <w:sz w:val="20"/>
        </w:rPr>
        <w:t>Full aggregated confusion matrix: TP=765, FP=29, FN=35, TN=1971. Macro Precision=0.961, Recall=0.956, F1=0.958, FPR=1.5%. AUC-ROC=0.982.</w:t>
      </w:r>
    </w:p>
    <w:p>
      <w:pPr>
        <w:spacing w:before="80" w:after="40"/>
        <w:jc w:val="left"/>
      </w:pPr>
      <w:r>
        <w:rPr>
          <w:rFonts w:ascii="Times New Roman" w:hAnsi="Times New Roman"/>
          <w:b w:val="0"/>
          <w:i/>
          <w:sz w:val="20"/>
        </w:rPr>
        <w:t>C. Baseline Comparison: Rule-Only vs. H-BADE</w:t>
      </w:r>
    </w:p>
    <w:p>
      <w:pPr>
        <w:spacing w:before="120" w:after="40"/>
        <w:jc w:val="center"/>
      </w:pPr>
      <w:r>
        <w:rPr>
          <w:rFonts w:ascii="Times New Roman" w:hAnsi="Times New Roman"/>
          <w:b w:val="0"/>
          <w:i w:val="0"/>
          <w:sz w:val="18"/>
        </w:rPr>
        <w:t>TABLE V</w:t>
        <w:br/>
        <w:t>BASELINE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18"/>
              </w:rPr>
              <w:t>Metric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18"/>
              </w:rPr>
              <w:t>Rule-Only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18"/>
              </w:rPr>
              <w:t>H-BADE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18"/>
              </w:rPr>
              <w:t>Improvement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Overall F1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0.875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0.958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+8.3 pp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Recall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0.822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0.956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+13.4 pp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False Negative Rate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17.8%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4.4%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-13.4 pp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Slow-rate evasion F1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0.601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0.926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+32.5 pp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Distributed ring F1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0.000*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0.949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+94.9 pp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AUC-ROC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0.891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0.982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+9.1 pp</w:t>
            </w:r>
          </w:p>
        </w:tc>
      </w:tr>
    </w:tbl>
    <w:p/>
    <w:p>
      <w:pPr>
        <w:spacing w:before="0" w:after="0" w:lineRule="exact" w:line="240"/>
        <w:ind w:firstLine="288"/>
        <w:jc w:val="both"/>
      </w:pPr>
      <w:r>
        <w:rPr>
          <w:rFonts w:ascii="Times New Roman" w:hAnsi="Times New Roman"/>
          <w:b w:val="0"/>
          <w:i w:val="0"/>
          <w:sz w:val="20"/>
        </w:rPr>
        <w:t>*Rule-only baseline has no access to G feature and cannot detect distributed credential rings. The slow-rate evasion improvement (+32.5 pp) confirms that temporal burstiness T and the Isolation Forest's high-dimensional boundary together close the primary evasion pathway.</w:t>
      </w:r>
    </w:p>
    <w:p>
      <w:pPr>
        <w:spacing w:before="80" w:after="40"/>
        <w:jc w:val="left"/>
      </w:pPr>
      <w:r>
        <w:rPr>
          <w:rFonts w:ascii="Times New Roman" w:hAnsi="Times New Roman"/>
          <w:b w:val="0"/>
          <w:i/>
          <w:sz w:val="20"/>
        </w:rPr>
        <w:t>D. Feature Importance</w:t>
      </w:r>
    </w:p>
    <w:p>
      <w:pPr>
        <w:spacing w:before="120" w:after="40"/>
        <w:jc w:val="center"/>
      </w:pPr>
      <w:r>
        <w:rPr>
          <w:rFonts w:ascii="Times New Roman" w:hAnsi="Times New Roman"/>
          <w:b w:val="0"/>
          <w:i w:val="0"/>
          <w:sz w:val="18"/>
        </w:rPr>
        <w:t>TABLE VI</w:t>
        <w:br/>
        <w:t>PERMUTATION FEATURE IMPORTANCE (MEAN AUC-ROC DROP)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18"/>
              </w:rPr>
              <w:t>Feature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18"/>
              </w:rPr>
              <w:t>AUC-ROC Drop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18"/>
              </w:rPr>
              <w:t>Interpretation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T (temporal burstiness)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-0.081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Most discriminative; detects burst-then-suppress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 (unique IP count)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-0.074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Strong signal for explicit credential sharing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G (graph centrality)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-0.061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Critical for distributed ring detection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DR (denial rate)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-0.049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Probing and enumeration detection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D (download frequency)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-0.038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Supplementary to temporal signal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 (asset breadth)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-0.021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Least discriminative individually</w:t>
            </w:r>
          </w:p>
        </w:tc>
      </w:tr>
    </w:tbl>
    <w:p/>
    <w:p>
      <w:pPr>
        <w:spacing w:before="80" w:after="40"/>
        <w:jc w:val="left"/>
      </w:pPr>
      <w:r>
        <w:rPr>
          <w:rFonts w:ascii="Times New Roman" w:hAnsi="Times New Roman"/>
          <w:b w:val="0"/>
          <w:i/>
          <w:sz w:val="20"/>
        </w:rPr>
        <w:t>E. License Verification Latency</w:t>
      </w:r>
    </w:p>
    <w:p>
      <w:pPr>
        <w:spacing w:before="120" w:after="40"/>
        <w:jc w:val="center"/>
      </w:pPr>
      <w:r>
        <w:rPr>
          <w:rFonts w:ascii="Times New Roman" w:hAnsi="Times New Roman"/>
          <w:b w:val="0"/>
          <w:i w:val="0"/>
          <w:sz w:val="18"/>
        </w:rPr>
        <w:t>TABLE VII</w:t>
        <w:br/>
        <w:t>LICENSE VERIFICATION LATENCY (500 MEASUREMENTS)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18"/>
              </w:rPr>
              <w:t>Verification Path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18"/>
              </w:rPr>
              <w:t>Mean (ms)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18"/>
              </w:rPr>
              <w:t>P95 (ms)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18"/>
              </w:rPr>
              <w:t>P99 (ms)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Cache hit (SQLite)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12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18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24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On-chain query (Web3.py)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43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61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78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Full path + Rule engine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48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67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85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Full path + H-BADE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49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68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87</w:t>
            </w:r>
          </w:p>
        </w:tc>
      </w:tr>
    </w:tbl>
    <w:p/>
    <w:p>
      <w:pPr>
        <w:spacing w:before="80" w:after="40"/>
        <w:jc w:val="left"/>
      </w:pPr>
      <w:r>
        <w:rPr>
          <w:rFonts w:ascii="Times New Roman" w:hAnsi="Times New Roman"/>
          <w:b w:val="0"/>
          <w:i/>
          <w:sz w:val="20"/>
        </w:rPr>
        <w:t>F. Gas Costs</w:t>
      </w:r>
    </w:p>
    <w:p>
      <w:pPr>
        <w:spacing w:before="120" w:after="40"/>
        <w:jc w:val="center"/>
      </w:pPr>
      <w:r>
        <w:rPr>
          <w:rFonts w:ascii="Times New Roman" w:hAnsi="Times New Roman"/>
          <w:b w:val="0"/>
          <w:i w:val="0"/>
          <w:sz w:val="18"/>
        </w:rPr>
        <w:t>TABLE VIII</w:t>
        <w:br/>
        <w:t>SMART CONTRACT GAS COSTS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18"/>
              </w:rPr>
              <w:t>Operation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18"/>
              </w:rPr>
              <w:t>Gas Used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18"/>
              </w:rPr>
              <w:t>Notes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registerAsset()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~68,000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One-time per asset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issueLicense()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~72,000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Once per licensee per asset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requestAccess()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~31,000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Per access event (state write)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transferOwnership()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~29,000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Conditional on transferable flag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verifyLicense() (view)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Read-only; zero gas</w:t>
            </w:r>
          </w:p>
        </w:tc>
      </w:tr>
    </w:tbl>
    <w:p/>
    <w:p>
      <w:pPr>
        <w:spacing w:before="160" w:after="80"/>
        <w:jc w:val="center"/>
      </w:pPr>
      <w:r>
        <w:rPr>
          <w:rFonts w:ascii="Times New Roman" w:hAnsi="Times New Roman"/>
          <w:b w:val="0"/>
          <w:i w:val="0"/>
          <w:sz w:val="20"/>
        </w:rPr>
        <w:t>VI. SECURITY ANALYSIS</w:t>
      </w:r>
    </w:p>
    <w:p>
      <w:pPr>
        <w:spacing w:before="0" w:after="0" w:lineRule="exact" w:line="240"/>
        <w:ind w:firstLine="288"/>
        <w:jc w:val="both"/>
      </w:pPr>
      <w:r>
        <w:rPr>
          <w:rFonts w:ascii="Times New Roman" w:hAnsi="Times New Roman"/>
          <w:b w:val="0"/>
          <w:i w:val="0"/>
          <w:sz w:val="20"/>
        </w:rPr>
        <w:t>Reentrancy: requestAccess() follows checks-effects-interactions; no external contract calls after state modification. Front-running: transaction ordering in the mempool could allow an adversary to consume the last access unit; mitigation: commit-reveal scheme. Replay attacks: expired license issuance transactions are blocked by the block.timestamp check; nonce tracking in contract storage prevents re-issuance replay. Integer overflow: Solidity ^0.8.x built-in checked arithmetic prevents accessUsed overflow.</w:t>
      </w:r>
    </w:p>
    <w:p>
      <w:pPr>
        <w:spacing w:before="0" w:after="0" w:lineRule="exact" w:line="240"/>
        <w:ind w:firstLine="288"/>
        <w:jc w:val="both"/>
      </w:pPr>
      <w:r>
        <w:rPr>
          <w:rFonts w:ascii="Times New Roman" w:hAnsi="Times New Roman"/>
          <w:b w:val="0"/>
          <w:i w:val="0"/>
          <w:sz w:val="20"/>
        </w:rPr>
        <w:t>AI evasion: slow-rate threshold calibration is countered by temporal burstiness T and the high-dimensional Isolation Forest boundary (+32.5 pp F1 on slow-rate class). Distributed ring evasion is countered by graph centrality G (0.949 F1 on ring class). Gradual profile poisoning requires periodic model retraining with distribution shift detection. On-chain evidence tampering is prevented by AuditLog on_chain_tx_hash binding to immutable events.</w:t>
      </w:r>
    </w:p>
    <w:p>
      <w:pPr>
        <w:spacing w:before="160" w:after="80"/>
        <w:jc w:val="center"/>
      </w:pPr>
      <w:r>
        <w:rPr>
          <w:rFonts w:ascii="Times New Roman" w:hAnsi="Times New Roman"/>
          <w:b w:val="0"/>
          <w:i w:val="0"/>
          <w:sz w:val="20"/>
        </w:rPr>
        <w:t>VII. BLOCKCHAIN OPTIMIZATION</w:t>
      </w:r>
    </w:p>
    <w:p>
      <w:pPr>
        <w:spacing w:before="0" w:after="0" w:lineRule="exact" w:line="240"/>
        <w:ind w:firstLine="288"/>
        <w:jc w:val="both"/>
      </w:pPr>
      <w:r>
        <w:rPr>
          <w:rFonts w:ascii="Times New Roman" w:hAnsi="Times New Roman"/>
          <w:b w:val="0"/>
          <w:i w:val="0"/>
          <w:sz w:val="20"/>
        </w:rPr>
        <w:t>Gas reduction strategies: (1) Storage packing -- uint64 for expiryTime and uint32 for access counters reduces License struct from 4 to 2 EVM storage slots, cutting issueLicense() gas by ~30%. (2) Batch access accounting -- aggregate events off-chain, submit periodic state updates to reduce per-access gas cost proportional to batch size. (3) Layer-2 deployment -- Optimistic rollups (Arbitrum, Optimism) batch requestAccess() calls into single L1 calldata submissions, reducing effective per-transaction gas by 10-100x. ZK-rollups (zkSync, StarkNet) provide cryptographic finality. Off-chain Isolation Forest inference adds ~0.8 ms; ZKP-verified on-chain inference (EZKL/Giza) remains a future research direction given current proof generation overhead.</w:t>
      </w:r>
    </w:p>
    <w:p>
      <w:pPr>
        <w:spacing w:before="160" w:after="80"/>
        <w:jc w:val="center"/>
      </w:pPr>
      <w:r>
        <w:rPr>
          <w:rFonts w:ascii="Times New Roman" w:hAnsi="Times New Roman"/>
          <w:b w:val="0"/>
          <w:i w:val="0"/>
          <w:sz w:val="20"/>
        </w:rPr>
        <w:t>VIII. CONCLUSION</w:t>
      </w:r>
    </w:p>
    <w:p>
      <w:pPr>
        <w:spacing w:before="0" w:after="0" w:lineRule="exact" w:line="240"/>
        <w:ind w:firstLine="288"/>
        <w:jc w:val="both"/>
      </w:pPr>
      <w:r>
        <w:rPr>
          <w:rFonts w:ascii="Times New Roman" w:hAnsi="Times New Roman"/>
          <w:b w:val="0"/>
          <w:i w:val="0"/>
          <w:sz w:val="20"/>
        </w:rPr>
        <w:t>SmartDRM-X resolves a critical gap in blockchain-based DRM: detecting behavioral credential abuse that is structurally license-compliant but statistically anomalous. The dual-layer architecture ensures tamper-evident behavioral evidence collection; the H-BADE hybrid model establishes a high-dimensional decision boundary robust to slow-rate evasion and distributed credential rings. Evaluation against 3,200 synthetic events demonstrates F1 0.958 and AUC-ROC 0.982, with +32.5 pp F1 on slow-rate evasion vs. rule-only baseline. License verification latency remains below 50 ms at P95. The formal score R = aD + bI + gA + dDR + nT + eG, with temporal burstiness T and graph centrality G as novel features, provides an interpretable, auditable detection model compatible with enterprise governance requirements.</w:t>
      </w:r>
    </w:p>
    <w:p>
      <w:pPr>
        <w:spacing w:before="160" w:after="80"/>
        <w:jc w:val="center"/>
      </w:pPr>
      <w:r>
        <w:rPr>
          <w:rFonts w:ascii="Times New Roman" w:hAnsi="Times New Roman"/>
          <w:b w:val="0"/>
          <w:i w:val="0"/>
          <w:sz w:val="20"/>
        </w:rPr>
        <w:t xml:space="preserve">ACKNOWLEDGMENT. </w:t>
      </w:r>
    </w:p>
    <w:p>
      <w:pPr>
        <w:spacing w:before="0" w:after="0" w:lineRule="exact" w:line="240"/>
        <w:jc w:val="both"/>
      </w:pPr>
      <w:r>
        <w:rPr>
          <w:rFonts w:ascii="Times New Roman" w:hAnsi="Times New Roman"/>
          <w:b w:val="0"/>
          <w:i w:val="0"/>
          <w:sz w:val="20"/>
        </w:rPr>
        <w:t>The authors would like to thank the faculty of [Department Name], [Institution], for their guidance and support throughout this research. This work was conducted as part of the undergraduate/postgraduate final-year project program.</w:t>
      </w:r>
    </w:p>
    <w:p>
      <w:pPr>
        <w:spacing w:before="80" w:after="80" w:lineRule="exact" w:line="240"/>
        <w:jc w:val="left"/>
      </w:pPr>
      <w:r>
        <w:rPr>
          <w:rFonts w:ascii="Times New Roman" w:hAnsi="Times New Roman"/>
          <w:b/>
          <w:i w:val="0"/>
          <w:sz w:val="20"/>
        </w:rPr>
        <w:t xml:space="preserve">Conflict of Interest: </w:t>
      </w:r>
      <w:r>
        <w:rPr>
          <w:rFonts w:ascii="Times New Roman" w:hAnsi="Times New Roman"/>
          <w:b w:val="0"/>
          <w:i w:val="0"/>
          <w:sz w:val="20"/>
        </w:rPr>
        <w:t>The authors declare no conflict of interest.</w:t>
      </w:r>
    </w:p>
    <w:p>
      <w:pPr>
        <w:spacing w:before="160" w:after="80"/>
        <w:jc w:val="center"/>
      </w:pPr>
      <w:r>
        <w:rPr>
          <w:rFonts w:ascii="Times New Roman" w:hAnsi="Times New Roman"/>
          <w:b w:val="0"/>
          <w:i w:val="0"/>
          <w:sz w:val="20"/>
        </w:rPr>
        <w:t xml:space="preserve">REFERENCES. </w:t>
      </w:r>
    </w:p>
    <w:p>
      <w:pPr>
        <w:spacing w:before="0" w:after="40" w:lineRule="exact" w:line="240"/>
        <w:ind w:left="432" w:hanging="432"/>
        <w:jc w:val="both"/>
      </w:pPr>
      <w:r>
        <w:rPr>
          <w:rFonts w:ascii="Times New Roman" w:hAnsi="Times New Roman"/>
          <w:b w:val="0"/>
          <w:i w:val="0"/>
          <w:sz w:val="18"/>
        </w:rPr>
        <w:t>[1] W. Zeng, Y. Liu, J. Chen, and T. Li, "A survey on digital rights management," IEEE Commun. Surveys &amp; Tutorials, vol. 18, no. 2, pp. 1127-1150, 2016.</w:t>
      </w:r>
    </w:p>
    <w:p>
      <w:pPr>
        <w:spacing w:before="0" w:after="40" w:lineRule="exact" w:line="240"/>
        <w:ind w:left="432" w:hanging="432"/>
        <w:jc w:val="both"/>
      </w:pPr>
      <w:r>
        <w:rPr>
          <w:rFonts w:ascii="Times New Roman" w:hAnsi="Times New Roman"/>
          <w:b w:val="0"/>
          <w:i w:val="0"/>
          <w:sz w:val="18"/>
        </w:rPr>
        <w:t>[2] R. Iannella, "Open digital rights language (ODRL) version 1.1," W3C Note, 2002.</w:t>
      </w:r>
    </w:p>
    <w:p>
      <w:pPr>
        <w:spacing w:before="0" w:after="40" w:lineRule="exact" w:line="240"/>
        <w:ind w:left="432" w:hanging="432"/>
        <w:jc w:val="both"/>
      </w:pPr>
      <w:r>
        <w:rPr>
          <w:rFonts w:ascii="Times New Roman" w:hAnsi="Times New Roman"/>
          <w:b w:val="0"/>
          <w:i w:val="0"/>
          <w:sz w:val="18"/>
        </w:rPr>
        <w:t>[3] Z. Ma, M. Jiang, H. Gao, and Z. Wang, "Blockchain for digital rights management," Future Generation Computer Systems, vol. 89, pp. 746-764, 2018.</w:t>
      </w:r>
    </w:p>
    <w:p>
      <w:pPr>
        <w:spacing w:before="0" w:after="40" w:lineRule="exact" w:line="240"/>
        <w:ind w:left="432" w:hanging="432"/>
        <w:jc w:val="both"/>
      </w:pPr>
      <w:r>
        <w:rPr>
          <w:rFonts w:ascii="Times New Roman" w:hAnsi="Times New Roman"/>
          <w:b w:val="0"/>
          <w:i w:val="0"/>
          <w:sz w:val="18"/>
        </w:rPr>
        <w:t>[4] C. Xu, K. Wang, and M. Guo, "Intelligent resource management in blockchain-based cloud datacenters," IEEE Cloud Computing, vol. 4, no. 6, pp. 50-59, 2017.</w:t>
      </w:r>
    </w:p>
    <w:p>
      <w:pPr>
        <w:spacing w:before="0" w:after="40" w:lineRule="exact" w:line="240"/>
        <w:ind w:left="432" w:hanging="432"/>
        <w:jc w:val="both"/>
      </w:pPr>
      <w:r>
        <w:rPr>
          <w:rFonts w:ascii="Times New Roman" w:hAnsi="Times New Roman"/>
          <w:b w:val="0"/>
          <w:i w:val="0"/>
          <w:sz w:val="18"/>
        </w:rPr>
        <w:t>[5] Y. Liu, Q. Peng, J. Wang, and B. Xu, "ML-based anomaly detection for DRM systems," in Proc. IEEE TrustCom, 2020, pp. 481-488.</w:t>
      </w:r>
    </w:p>
    <w:p>
      <w:pPr>
        <w:spacing w:before="0" w:after="40" w:lineRule="exact" w:line="240"/>
        <w:ind w:left="432" w:hanging="432"/>
        <w:jc w:val="both"/>
      </w:pPr>
      <w:r>
        <w:rPr>
          <w:rFonts w:ascii="Times New Roman" w:hAnsi="Times New Roman"/>
          <w:b w:val="0"/>
          <w:i w:val="0"/>
          <w:sz w:val="18"/>
        </w:rPr>
        <w:t>[6] K. Bhaskaran, P. Ilfrich, and F. Lim, "Distributed DRM using blockchain and smart contracts," in Proc. IEEE Blockchain, 2019, pp. 463-468.</w:t>
      </w:r>
    </w:p>
    <w:p>
      <w:pPr>
        <w:spacing w:before="0" w:after="40" w:lineRule="exact" w:line="240"/>
        <w:ind w:left="432" w:hanging="432"/>
        <w:jc w:val="both"/>
      </w:pPr>
      <w:r>
        <w:rPr>
          <w:rFonts w:ascii="Times New Roman" w:hAnsi="Times New Roman"/>
          <w:b w:val="0"/>
          <w:i w:val="0"/>
          <w:sz w:val="18"/>
        </w:rPr>
        <w:t>[7] A. Savelyev, "Copyright in the blockchain era," Computer Law &amp; Security Review, vol. 34, no. 3, pp. 550-561, 2018.</w:t>
      </w:r>
    </w:p>
    <w:p>
      <w:pPr>
        <w:spacing w:before="0" w:after="40" w:lineRule="exact" w:line="240"/>
        <w:ind w:left="432" w:hanging="432"/>
        <w:jc w:val="both"/>
      </w:pPr>
      <w:r>
        <w:rPr>
          <w:rFonts w:ascii="Times New Roman" w:hAnsi="Times New Roman"/>
          <w:b w:val="0"/>
          <w:i w:val="0"/>
          <w:sz w:val="18"/>
        </w:rPr>
        <w:t>[8] Y. Chen, H. Li, K. Li, and J. Zhang, "An improved P2P file system based on IPFS and blockchain," in Proc. IEEE Big Data, 2017, pp. 2652-2657.</w:t>
      </w:r>
    </w:p>
    <w:p>
      <w:pPr>
        <w:spacing w:before="0" w:after="40" w:lineRule="exact" w:line="240"/>
        <w:ind w:left="432" w:hanging="432"/>
        <w:jc w:val="both"/>
      </w:pPr>
      <w:r>
        <w:rPr>
          <w:rFonts w:ascii="Times New Roman" w:hAnsi="Times New Roman"/>
          <w:b w:val="0"/>
          <w:i w:val="0"/>
          <w:sz w:val="18"/>
        </w:rPr>
        <w:t>[9] S. Nakamoto, "Bitcoin: A peer-to-peer electronic cash system," 2008.</w:t>
      </w:r>
    </w:p>
    <w:p>
      <w:pPr>
        <w:spacing w:before="0" w:after="40" w:lineRule="exact" w:line="240"/>
        <w:ind w:left="432" w:hanging="432"/>
        <w:jc w:val="both"/>
      </w:pPr>
      <w:r>
        <w:rPr>
          <w:rFonts w:ascii="Times New Roman" w:hAnsi="Times New Roman"/>
          <w:b w:val="0"/>
          <w:i w:val="0"/>
          <w:sz w:val="18"/>
        </w:rPr>
        <w:t>[10] V. Buterin, "Ethereum white paper," 2014.</w:t>
      </w:r>
    </w:p>
    <w:p>
      <w:pPr>
        <w:spacing w:before="0" w:after="40" w:lineRule="exact" w:line="240"/>
        <w:ind w:left="432" w:hanging="432"/>
        <w:jc w:val="both"/>
      </w:pPr>
      <w:r>
        <w:rPr>
          <w:rFonts w:ascii="Times New Roman" w:hAnsi="Times New Roman"/>
          <w:b w:val="0"/>
          <w:i w:val="0"/>
          <w:sz w:val="18"/>
        </w:rPr>
        <w:t>[11] M. Bellare and P. Rogaway, "The security of triple encryption," in Proc. EUROCRYPT, 2006, pp. 409-426.</w:t>
      </w:r>
    </w:p>
    <w:p>
      <w:pPr>
        <w:spacing w:before="0" w:after="40" w:lineRule="exact" w:line="240"/>
        <w:ind w:left="432" w:hanging="432"/>
        <w:jc w:val="both"/>
      </w:pPr>
      <w:r>
        <w:rPr>
          <w:rFonts w:ascii="Times New Roman" w:hAnsi="Times New Roman"/>
          <w:b w:val="0"/>
          <w:i w:val="0"/>
          <w:sz w:val="18"/>
        </w:rPr>
        <w:t>[12] N. Kshetri, "Blockchain and electronic healthcare records," IEEE Cloud Computing, vol. 5, no. 3, pp. 56-62, 2018.</w:t>
      </w:r>
    </w:p>
    <w:p>
      <w:pPr>
        <w:spacing w:before="0" w:after="40" w:lineRule="exact" w:line="240"/>
        <w:ind w:left="432" w:hanging="432"/>
        <w:jc w:val="both"/>
      </w:pPr>
      <w:r>
        <w:rPr>
          <w:rFonts w:ascii="Times New Roman" w:hAnsi="Times New Roman"/>
          <w:b w:val="0"/>
          <w:i w:val="0"/>
          <w:sz w:val="18"/>
        </w:rPr>
        <w:t>[13] V. Chandola, A. Banerjee, and V. Kumar, "Anomaly detection: A survey," ACM Computing Surveys, vol. 41, no. 3, pp. 1-58, 2009.</w:t>
      </w:r>
    </w:p>
    <w:p>
      <w:pPr>
        <w:spacing w:before="0" w:after="40" w:lineRule="exact" w:line="240"/>
        <w:ind w:left="432" w:hanging="432"/>
        <w:jc w:val="both"/>
      </w:pPr>
      <w:r>
        <w:rPr>
          <w:rFonts w:ascii="Times New Roman" w:hAnsi="Times New Roman"/>
          <w:b w:val="0"/>
          <w:i w:val="0"/>
          <w:sz w:val="18"/>
        </w:rPr>
        <w:t>[14] F. T. Liu, K. M. Ting, and Z.-H. Zhou, "Isolation forest," in Proc. IEEE ICDM, 2008, pp. 413-422.</w:t>
      </w:r>
    </w:p>
    <w:p>
      <w:pPr>
        <w:spacing w:before="0" w:after="40" w:lineRule="exact" w:line="240"/>
        <w:ind w:left="432" w:hanging="432"/>
        <w:jc w:val="both"/>
      </w:pPr>
      <w:r>
        <w:rPr>
          <w:rFonts w:ascii="Times New Roman" w:hAnsi="Times New Roman"/>
          <w:b w:val="0"/>
          <w:i w:val="0"/>
          <w:sz w:val="18"/>
        </w:rPr>
        <w:t>[15] N. Atzei, M. Bartoletti, and T. Cimoli, "A survey of attacks on Ethereum smart contracts," in Proc. POST, 2017, pp. 164-186.</w:t>
      </w:r>
    </w:p>
    <w:p>
      <w:pPr>
        <w:spacing w:before="0" w:after="40" w:lineRule="exact" w:line="240"/>
        <w:ind w:left="432" w:hanging="432"/>
        <w:jc w:val="both"/>
      </w:pPr>
      <w:r>
        <w:rPr>
          <w:rFonts w:ascii="Times New Roman" w:hAnsi="Times New Roman"/>
          <w:b w:val="0"/>
          <w:i w:val="0"/>
          <w:sz w:val="18"/>
        </w:rPr>
        <w:t>[16] L. Luu et al., "Making smart contracts smarter," in Proc. ACM CCS, 2016, pp. 254-269.</w:t>
      </w:r>
    </w:p>
    <w:p>
      <w:pPr>
        <w:spacing w:before="0" w:after="40" w:lineRule="exact" w:line="240"/>
        <w:ind w:left="432" w:hanging="432"/>
        <w:jc w:val="both"/>
      </w:pPr>
      <w:r>
        <w:rPr>
          <w:rFonts w:ascii="Times New Roman" w:hAnsi="Times New Roman"/>
          <w:b w:val="0"/>
          <w:i w:val="0"/>
          <w:sz w:val="18"/>
        </w:rPr>
        <w:t>[17] OWASP Foundation, "Password storage cheat sheet," 2023.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