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0.png" ContentType="image/png"/>
  <Override PartName="/word/media/rId36.png" ContentType="image/png"/>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 the opposite profile</w:t>
      </w:r>
      <w:r>
        <w:t xml:space="preserve"> </w:t>
      </w:r>
      <w:r>
        <w:t xml:space="preserve">(47.7% validity, 13.8% recovery), so the two are ordered one way by validity</w:t>
      </w:r>
      <w:r>
        <w:t xml:space="preserve"> </w:t>
      </w:r>
      <w:r>
        <w:t xml:space="preserve">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supports a pruning rule selected to be lossless on the development split; and a</w:t>
      </w:r>
      <w:r>
        <w:t xml:space="preserve"> </w:t>
      </w:r>
      <w:r>
        <w:t xml:space="preserve">character-level chemical language model ranks what 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applies to</w:t>
      </w:r>
      <w:r>
        <w:t xml:space="preserve"> </w:t>
      </w:r>
      <w:r>
        <w:t xml:space="preserve">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answer at 96.4%</w:t>
      </w:r>
      <w:r>
        <w:t xml:space="preserve"> </w:t>
      </w:r>
      <w:r>
        <w:t xml:space="preserve">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0"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p>
      <w:pPr>
        <w:pStyle w:val="BodyText"/>
      </w:pPr>
      <w:r>
        <w:t xml:space="preserve">To ask it we build a leakage-controlled benchmark of corrupted SMILES with known</w:t>
      </w:r>
      <w:r>
        <w:t xml:space="preserve"> </w:t>
      </w:r>
      <w:r>
        <w:t xml:space="preserve">ground truth, drawn from a held-out molecule pool and calibrated to the error mix</w:t>
      </w:r>
      <w:r>
        <w:t xml:space="preserve"> </w:t>
      </w:r>
      <w:r>
        <w:t xml:space="preserve">a real generative model actually produces (Section </w:t>
      </w:r>
      <w:hyperlink w:anchor="sec:bench">
        <w:r>
          <w:rPr>
            <w:rStyle w:val="Hyperlink"/>
          </w:rPr>
          <w:t xml:space="preserve">4</w:t>
        </w:r>
      </w:hyperlink>
      <w:r>
        <w:t xml:space="preserve">). On that</w:t>
      </w:r>
      <w:r>
        <w:t xml:space="preserve"> </w:t>
      </w:r>
      <w:r>
        <w:t xml:space="preserve">benchmark we measure how far validity and recovery come apart, and find the gap</w:t>
      </w:r>
      <w:r>
        <w:t xml:space="preserve"> </w:t>
      </w:r>
      <w:r>
        <w:t xml:space="preserve">wide enough to reverse the ordering of published systems: that validity is</w:t>
      </w:r>
      <w:r>
        <w:t xml:space="preserve"> </w:t>
      </w:r>
      <w:r>
        <w:t xml:space="preserve">insufficient has been argued qualitatively </w:t>
      </w:r>
      <w:r>
        <w:t xml:space="preserve">(Yoon and Lee 2026)</w:t>
      </w:r>
      <w:r>
        <w:t xml:space="preserve">, and we quantify the</w:t>
      </w:r>
      <w:r>
        <w:t xml:space="preserve"> </w:t>
      </w:r>
      <w:r>
        <w:t xml:space="preserve">consequence (Section </w:t>
      </w:r>
      <w:hyperlink w:anchor="sec:exp1">
        <w:r>
          <w:rPr>
            <w:rStyle w:val="Hyperlink"/>
          </w:rPr>
          <w:t xml:space="preserve">6.1</w:t>
        </w:r>
      </w:hyperlink>
      <w:r>
        <w:t xml:space="preserve">).</w:t>
      </w:r>
    </w:p>
    <w:p>
      <w:pPr>
        <w:pStyle w:val="BodyText"/>
      </w:pPr>
      <w:r>
        <w:t xml:space="preserve">The method follows from the measurement. We take the bounded-edit</w:t>
      </w:r>
      <w:r>
        <w:t xml:space="preserve"> </w:t>
      </w:r>
      <w:r>
        <w:t xml:space="preserve">constrained-selection formulation from syntax repair </w:t>
      </w:r>
      <w:r>
        <w:t xml:space="preserve">(Considine 2025)</w:t>
      </w:r>
      <w:r>
        <w:t xml:space="preserve"> </w:t>
      </w:r>
      <w:r>
        <w:t xml:space="preserve">and ask what it takes to make it work for molecules, instantiating it with a</w:t>
      </w:r>
      <w:r>
        <w:t xml:space="preserve"> </w:t>
      </w:r>
      <w:r>
        <w:t xml:space="preserve">chemistry toolkit’s diagnosis as the pruning constraint and a chemical language</w:t>
      </w:r>
      <w:r>
        <w:t xml:space="preserve"> </w:t>
      </w:r>
      <w:r>
        <w:t xml:space="preserve">model as the prior. The resulting system,</w:t>
      </w:r>
      <w:r>
        <w:t xml:space="preserve"> </w:t>
      </w:r>
      <w:r>
        <w:rPr>
          <w:smallCaps/>
        </w:rPr>
        <w:t xml:space="preserve">EnumRank</w:t>
      </w:r>
      <w:r>
        <w:t xml:space="preserve">, attains 100.0% validity and</w:t>
      </w:r>
      <w:r>
        <w:t xml:space="preserve"> </w:t>
      </w:r>
      <w:r>
        <w:t xml:space="preserve">80.7% exact recovery (Sections </w:t>
      </w:r>
      <w:hyperlink w:anchor="sec:method">
        <w:r>
          <w:rPr>
            <w:rStyle w:val="Hyperlink"/>
          </w:rPr>
          <w:t xml:space="preserve">5</w:t>
        </w:r>
      </w:hyperlink>
      <w:r>
        <w:t xml:space="preserve">–</w:t>
      </w:r>
      <w:hyperlink w:anchor="sec:exp4">
        <w:r>
          <w:rPr>
            <w:rStyle w:val="Hyperlink"/>
          </w:rPr>
          <w:t xml:space="preserve">6.4</w:t>
        </w:r>
      </w:hyperlink>
      <w:r>
        <w:t xml:space="preserve">), and the two</w:t>
      </w:r>
      <w:r>
        <w:t xml:space="preserve"> </w:t>
      </w:r>
      <w:r>
        <w:t xml:space="preserve">halves can be separated: enumeration makes recovery possible, covering the</w:t>
      </w:r>
      <w:r>
        <w:t xml:space="preserve"> </w:t>
      </w:r>
      <w:r>
        <w:t xml:space="preserve">ground truth for 99.79% of items, while on that fixed pruned candidate set</w:t>
      </w:r>
      <w:r>
        <w:t xml:space="preserve"> </w:t>
      </w:r>
      <w:r>
        <w:t xml:space="preserve">selection raises exact recovery from 13.6% under uniform choice to 80.7% with</w:t>
      </w:r>
      <w:r>
        <w:t xml:space="preserve"> </w:t>
      </w:r>
      <w:r>
        <w:t xml:space="preserve">the domain language model. For a point of comparison outside its own family, we</w:t>
      </w:r>
      <w:r>
        <w:t xml:space="preserve"> </w:t>
      </w:r>
      <w:r>
        <w:t xml:space="preserve">train a supervised corrector in-distribution on 245k repair pairs;</w:t>
      </w:r>
      <w:r>
        <w:t xml:space="preserve"> </w:t>
      </w:r>
      <w:r>
        <w:rPr>
          <w:smallCaps/>
        </w:rPr>
        <w:t xml:space="preserve">EnumRank</w:t>
      </w:r>
      <w:r>
        <w:t xml:space="preserve"> </w:t>
      </w:r>
      <w:r>
        <w:t xml:space="preserve">beats</w:t>
      </w:r>
      <w:r>
        <w:t xml:space="preserve"> </w:t>
      </w:r>
      <w:r>
        <w:t xml:space="preserve">it without using any repair supervision at all (Section </w:t>
      </w:r>
      <w:hyperlink w:anchor="sec:exp5">
        <w:r>
          <w:rPr>
            <w:rStyle w:val="Hyperlink"/>
          </w:rPr>
          <w:t xml:space="preserve">6.5</w:t>
        </w:r>
      </w:hyperlink>
      <w:r>
        <w:t xml:space="preserve">).</w:t>
      </w:r>
    </w:p>
    <w:bookmarkEnd w:id="9"/>
    <w:bookmarkEnd w:id="10"/>
    <w:bookmarkStart w:id="16" w:name="related-work"/>
    <w:p>
      <w:pPr>
        <w:pStyle w:val="Heading1"/>
      </w:pPr>
      <w:r>
        <w:t xml:space="preserve">Related work</w:t>
      </w:r>
    </w:p>
    <w:bookmarkStart w:id="11"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1"/>
    <w:bookmarkStart w:id="12"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2"/>
    <w:bookmarkStart w:id="13"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3"/>
    <w:bookmarkStart w:id="14"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4"/>
    <w:bookmarkStart w:id="15"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5"/>
    <w:bookmarkEnd w:id="16"/>
    <w:bookmarkStart w:id="17"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1"/>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1"/>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1"/>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1"/>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1"/>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7"/>
    <w:bookmarkStart w:id="21"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8"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8"/>
    <w:bookmarkStart w:id="19"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19"/>
    <w:bookmarkStart w:id="20"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0"/>
    <w:bookmarkEnd w:id="21"/>
    <w:bookmarkStart w:id="23"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2"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2"/>
    <w:bookmarkEnd w:id="23"/>
    <w:bookmarkStart w:id="63"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29"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4"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4"/>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8" w:name="fig:plane"/>
    <w:p>
      <w:pPr>
        <w:pStyle w:val="CaptionedFigure"/>
      </w:pPr>
      <w:r>
        <w:drawing>
          <wp:inline>
            <wp:extent cx="4160520" cy="3118169"/>
            <wp:effectExtent b="0" l="0" r="0" t="0"/>
            <wp:docPr descr="" title="" id="26" name="Picture"/>
            <a:graphic>
              <a:graphicData uri="http://schemas.openxmlformats.org/drawingml/2006/picture">
                <pic:pic>
                  <pic:nvPicPr>
                    <pic:cNvPr descr="fig_validity_recovery_plane.png" id="27" name="Picture"/>
                    <pic:cNvPicPr>
                      <a:picLocks noChangeArrowheads="1" noChangeAspect="1"/>
                    </pic:cNvPicPr>
                  </pic:nvPicPr>
                  <pic:blipFill>
                    <a:blip r:embed="rId25"/>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8"/>
    <w:bookmarkEnd w:id="29"/>
    <w:bookmarkStart w:id="34"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3" w:name="fig:space"/>
    <w:p>
      <w:pPr>
        <w:pStyle w:val="CaptionedFigure"/>
      </w:pPr>
      <w:r>
        <w:drawing>
          <wp:inline>
            <wp:extent cx="4679036" cy="2516893"/>
            <wp:effectExtent b="0" l="0" r="0" t="0"/>
            <wp:docPr descr="" title="" id="31" name="Picture"/>
            <a:graphic>
              <a:graphicData uri="http://schemas.openxmlformats.org/drawingml/2006/picture">
                <pic:pic>
                  <pic:nvPicPr>
                    <pic:cNvPr descr="fig_candidate_space.png" id="32" name="Picture"/>
                    <pic:cNvPicPr>
                      <a:picLocks noChangeArrowheads="1" noChangeAspect="1"/>
                    </pic:cNvPicPr>
                  </pic:nvPicPr>
                  <pic:blipFill>
                    <a:blip r:embed="rId30"/>
                    <a:stretch>
                      <a:fillRect/>
                    </a:stretch>
                  </pic:blipFill>
                  <pic:spPr bwMode="auto">
                    <a:xfrm>
                      <a:off x="0" y="0"/>
                      <a:ext cx="4679036" cy="2516893"/>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3"/>
    <w:bookmarkEnd w:id="34"/>
    <w:bookmarkStart w:id="35"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5"/>
    <w:bookmarkStart w:id="45"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39" w:name="fig:ladder"/>
    <w:p>
      <w:pPr>
        <w:pStyle w:val="CaptionedFigure"/>
      </w:pPr>
      <w:r>
        <w:drawing>
          <wp:inline>
            <wp:extent cx="4267200" cy="2266259"/>
            <wp:effectExtent b="0" l="0" r="0" t="0"/>
            <wp:docPr descr="" title="" id="37" name="Picture"/>
            <a:graphic>
              <a:graphicData uri="http://schemas.openxmlformats.org/drawingml/2006/picture">
                <pic:pic>
                  <pic:nvPicPr>
                    <pic:cNvPr descr="fig_ranking_ladder.png" id="38" name="Picture"/>
                    <pic:cNvPicPr>
                      <a:picLocks noChangeArrowheads="1" noChangeAspect="1"/>
                    </pic:cNvPicPr>
                  </pic:nvPicPr>
                  <pic:blipFill>
                    <a:blip r:embed="rId36"/>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39"/>
    <w:bookmarkStart w:id="43" w:name="fig:cat"/>
    <w:p>
      <w:pPr>
        <w:pStyle w:val="CaptionedFigure"/>
      </w:pPr>
      <w:r>
        <w:drawing>
          <wp:inline>
            <wp:extent cx="4437439" cy="2709559"/>
            <wp:effectExtent b="0" l="0" r="0" t="0"/>
            <wp:docPr descr="" title="" id="41" name="Picture"/>
            <a:graphic>
              <a:graphicData uri="http://schemas.openxmlformats.org/drawingml/2006/picture">
                <pic:pic>
                  <pic:nvPicPr>
                    <pic:cNvPr descr="fig_per_category.png" id="42" name="Picture"/>
                    <pic:cNvPicPr>
                      <a:picLocks noChangeArrowheads="1" noChangeAspect="1"/>
                    </pic:cNvPicPr>
                  </pic:nvPicPr>
                  <pic:blipFill>
                    <a:blip r:embed="rId40"/>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3"/>
    <w:bookmarkStart w:id="44"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4"/>
    <w:bookmarkEnd w:id="45"/>
    <w:bookmarkStart w:id="46"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6"/>
    <w:bookmarkStart w:id="50"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7"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one-edit</w:t>
      </w:r>
      <w:r>
        <w:t xml:space="preserve"> </w:t>
      </w:r>
      <w:r>
        <w:t xml:space="preserve">candidate space is therefore operationally useful for most real generator</w:t>
      </w:r>
      <w:r>
        <w:t xml:space="preserve"> </w:t>
      </w:r>
      <w:r>
        <w:t xml:space="preserve">failures, and is not an artefact of how we built the benchmark, although</w:t>
      </w:r>
      <w:r>
        <w:t xml:space="preserve"> </w:t>
      </w:r>
      <w:r>
        <w:t xml:space="preserve">intended recovery cannot be established here without ground truth.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7"/>
    <w:bookmarkStart w:id="48"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8"/>
    <w:bookmarkStart w:id="49"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49"/>
    <w:bookmarkEnd w:id="50"/>
    <w:bookmarkStart w:id="52"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1"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1"/>
    <w:bookmarkEnd w:id="52"/>
    <w:bookmarkStart w:id="54"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3"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3"/>
    <w:bookmarkEnd w:id="54"/>
    <w:bookmarkStart w:id="55"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5"/>
    <w:bookmarkStart w:id="56"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6"/>
    <w:bookmarkStart w:id="57"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7"/>
    <w:bookmarkStart w:id="62"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1" w:name="fig:risk"/>
    <w:p>
      <w:pPr>
        <w:pStyle w:val="CaptionedFigure"/>
      </w:pPr>
      <w:r>
        <w:drawing>
          <wp:inline>
            <wp:extent cx="3119357" cy="2299761"/>
            <wp:effectExtent b="0" l="0" r="0" t="0"/>
            <wp:docPr descr="" title="" id="59" name="Picture"/>
            <a:graphic>
              <a:graphicData uri="http://schemas.openxmlformats.org/drawingml/2006/picture">
                <pic:pic>
                  <pic:nvPicPr>
                    <pic:cNvPr descr="fig_risk_coverage.png" id="60" name="Picture"/>
                    <pic:cNvPicPr>
                      <a:picLocks noChangeArrowheads="1" noChangeAspect="1"/>
                    </pic:cNvPicPr>
                  </pic:nvPicPr>
                  <pic:blipFill>
                    <a:blip r:embed="rId58"/>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1"/>
    <w:bookmarkEnd w:id="62"/>
    <w:bookmarkEnd w:id="63"/>
    <w:bookmarkStart w:id="67" w:name="discussion"/>
    <w:p>
      <w:pPr>
        <w:pStyle w:val="Heading1"/>
      </w:pPr>
      <w:r>
        <w:t xml:space="preserve">Discussion</w:t>
      </w:r>
    </w:p>
    <w:bookmarkStart w:id="64"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4"/>
    <w:bookmarkStart w:id="65" w:name="where-the-difficulty-actually-lives."/>
    <w:p>
      <w:pPr>
        <w:pStyle w:val="Heading4"/>
      </w:pPr>
      <w:r>
        <w:t xml:space="preserve">Where the difficulty actually lives.</w:t>
      </w:r>
    </w:p>
    <w:p>
      <w:pPr>
        <w:pStyle w:val="FirstParagraph"/>
      </w:pPr>
      <w:r>
        <w:t xml:space="preserve">Symbolic enumeration makes recovery</w:t>
      </w:r>
      <w:r>
        <w:t xml:space="preserve"> </w:t>
      </w:r>
      <w:r>
        <w:rPr>
          <w:i/>
          <w:iCs/>
        </w:rPr>
        <w:t xml:space="preserve">possible</w:t>
      </w:r>
      <w:r>
        <w:t xml:space="preserve">: it delivers a sound</w:t>
      </w:r>
      <w:r>
        <w:t xml:space="preserve"> </w:t>
      </w:r>
      <w:r>
        <w:t xml:space="preserve">candidate set containing the answer 99.79% of the time. The chemical prior</w:t>
      </w:r>
      <w:r>
        <w:t xml:space="preserve"> </w:t>
      </w:r>
      <w:r>
        <w:t xml:space="preserve">makes recovery</w:t>
      </w:r>
      <w:r>
        <w:t xml:space="preserve"> </w:t>
      </w:r>
      <w:r>
        <w:rPr>
          <w:i/>
          <w:iCs/>
        </w:rPr>
        <w:t xml:space="preserve">accurate</w:t>
      </w:r>
      <w:r>
        <w:t xml:space="preserve">, raising exact recovery on the same pruned</w:t>
      </w:r>
      <w:r>
        <w:t xml:space="preserve"> </w:t>
      </w:r>
      <w:r>
        <w:t xml:space="preserve">candidate set from 13.6% with uniform selection to 80.7%. Neither half</w:t>
      </w:r>
      <w:r>
        <w:t xml:space="preserve"> </w:t>
      </w:r>
      <w:r>
        <w:t xml:space="preserve">suffices alone. Enumeration without a prior already beats the published</w:t>
      </w:r>
      <w:r>
        <w:t xml:space="preserve"> </w:t>
      </w:r>
      <w:r>
        <w:t xml:space="preserve">corrector we evaluate by an order of magnitude (13.6% against 1.2%) but falls</w:t>
      </w:r>
      <w:r>
        <w:t xml:space="preserve"> </w:t>
      </w:r>
      <w:r>
        <w:t xml:space="preserve">well short of a supervised model trained for the task (59.4%); a prior without</w:t>
      </w:r>
      <w:r>
        <w:t xml:space="preserve"> </w:t>
      </w:r>
      <w:r>
        <w:t xml:space="preserve">enumeration, the free LLM loop, sacrifices validity and drifts off the intended</w:t>
      </w:r>
      <w:r>
        <w:t xml:space="preserve"> </w:t>
      </w:r>
      <w:r>
        <w:t xml:space="preserve">molecule.</w:t>
      </w:r>
    </w:p>
    <w:bookmarkEnd w:id="65"/>
    <w:bookmarkStart w:id="66"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6"/>
    <w:bookmarkEnd w:id="67"/>
    <w:bookmarkStart w:id="68"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8"/>
    <w:bookmarkStart w:id="103" w:name="declarations"/>
    <w:p>
      <w:pPr>
        <w:pStyle w:val="Heading1"/>
      </w:pPr>
      <w:r>
        <w:t xml:space="preserve">Declarations</w:t>
      </w:r>
    </w:p>
    <w:bookmarkStart w:id="70"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69">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0"/>
    <w:bookmarkStart w:id="71"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1"/>
    <w:bookmarkStart w:id="72" w:name="consent-for-publication."/>
    <w:p>
      <w:pPr>
        <w:pStyle w:val="Heading4"/>
      </w:pPr>
      <w:r>
        <w:t xml:space="preserve">Consent for publication.</w:t>
      </w:r>
    </w:p>
    <w:p>
      <w:pPr>
        <w:pStyle w:val="FirstParagraph"/>
      </w:pPr>
      <w:r>
        <w:t xml:space="preserve">Not applicable.</w:t>
      </w:r>
    </w:p>
    <w:bookmarkEnd w:id="72"/>
    <w:bookmarkStart w:id="73" w:name="competing-interests."/>
    <w:p>
      <w:pPr>
        <w:pStyle w:val="Heading4"/>
      </w:pPr>
      <w:r>
        <w:t xml:space="preserve">Competing interests.</w:t>
      </w:r>
    </w:p>
    <w:p>
      <w:pPr>
        <w:pStyle w:val="FirstParagraph"/>
      </w:pPr>
      <w:r>
        <w:t xml:space="preserve">The authors declare no competing interests.</w:t>
      </w:r>
    </w:p>
    <w:bookmarkEnd w:id="73"/>
    <w:bookmarkStart w:id="74" w:name="funding."/>
    <w:p>
      <w:pPr>
        <w:pStyle w:val="Heading4"/>
      </w:pPr>
      <w:r>
        <w:t xml:space="preserve">Funding.</w:t>
      </w:r>
    </w:p>
    <w:p>
      <w:pPr>
        <w:pStyle w:val="FirstParagraph"/>
      </w:pPr>
      <w:r>
        <w:t xml:space="preserve">Not applicable.</w:t>
      </w:r>
    </w:p>
    <w:bookmarkEnd w:id="74"/>
    <w:bookmarkStart w:id="75"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5"/>
    <w:bookmarkStart w:id="102" w:name="acknowledgements."/>
    <w:p>
      <w:pPr>
        <w:pStyle w:val="Heading4"/>
      </w:pPr>
      <w:r>
        <w:t xml:space="preserve">Acknowledgements.</w:t>
      </w:r>
    </w:p>
    <w:p>
      <w:pPr>
        <w:pStyle w:val="FirstParagraph"/>
      </w:pPr>
      <w:r>
        <w:t xml:space="preserve">Not applicable.</w:t>
      </w:r>
    </w:p>
    <w:bookmarkStart w:id="101" w:name="refs"/>
    <w:bookmarkStart w:id="76"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6"/>
    <w:bookmarkStart w:id="77"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7"/>
    <w:bookmarkStart w:id="78"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8"/>
    <w:bookmarkStart w:id="79"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79"/>
    <w:bookmarkStart w:id="80"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0"/>
    <w:bookmarkStart w:id="81"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1"/>
    <w:bookmarkStart w:id="82"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2"/>
    <w:bookmarkStart w:id="83"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3"/>
    <w:bookmarkStart w:id="84"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4"/>
    <w:bookmarkStart w:id="85"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5"/>
    <w:bookmarkStart w:id="87"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6">
        <w:r>
          <w:rPr>
            <w:rStyle w:val="Hyperlink"/>
          </w:rPr>
          <w:t xml:space="preserve">Https://www.rdkit.org</w:t>
        </w:r>
      </w:hyperlink>
      <w:r>
        <w:t xml:space="preserve">.</w:t>
      </w:r>
    </w:p>
    <w:bookmarkEnd w:id="87"/>
    <w:bookmarkStart w:id="88"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8"/>
    <w:bookmarkStart w:id="89"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89"/>
    <w:bookmarkStart w:id="90"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0"/>
    <w:bookmarkStart w:id="91"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1"/>
    <w:bookmarkStart w:id="93"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2">
        <w:r>
          <w:rPr>
            <w:rStyle w:val="Hyperlink"/>
          </w:rPr>
          <w:t xml:space="preserve">https://doi.org/10.1186/s13321-023-00696-x</w:t>
        </w:r>
      </w:hyperlink>
      <w:r>
        <w:t xml:space="preserve">.</w:t>
      </w:r>
    </w:p>
    <w:bookmarkEnd w:id="93"/>
    <w:bookmarkStart w:id="95"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4">
        <w:r>
          <w:rPr>
            <w:rStyle w:val="Hyperlink"/>
          </w:rPr>
          <w:t xml:space="preserve">https://doi.org/10.1038/s42256-024-00821-x</w:t>
        </w:r>
      </w:hyperlink>
      <w:r>
        <w:t xml:space="preserve">.</w:t>
      </w:r>
    </w:p>
    <w:bookmarkEnd w:id="95"/>
    <w:bookmarkStart w:id="97"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6">
        <w:r>
          <w:rPr>
            <w:rStyle w:val="Hyperlink"/>
          </w:rPr>
          <w:t xml:space="preserve">https://doi.org/10.18653/v1/2025.emnlp-main.1350</w:t>
        </w:r>
      </w:hyperlink>
      <w:r>
        <w:t xml:space="preserve">.</w:t>
      </w:r>
    </w:p>
    <w:bookmarkEnd w:id="97"/>
    <w:bookmarkStart w:id="98"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8"/>
    <w:bookmarkStart w:id="99"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99"/>
    <w:bookmarkStart w:id="100"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2026-09-20T09:39:17Z</dcterms:created>
  <dcterms:modified xsi:type="dcterms:W3CDTF">2026-09-20T09:39:17Z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are ordered one way by validity and the other by recovery.We then show that invalid-SMILES recovery is better formulated as constrained candidate selection than as sequence generation. A symbolic enumerator over single-token edits yields a candidate set containing the ground truth for 99.79% of items (median 50 candidates); the toolkit’s diagnosis supports a pruning rule selected to be lossless on the development split; and a character-level chemical language model ranks what remains. The resulting system reaches 100.0% validity and 80.7% exact recovery, versus 59.4% for a supervised sequence-to-sequence corrector trained on 245,000 repair pairs, which our method needs none of. The EnumRank ranker is trained only on a disjoint molecule split, so its headline result does not depend on web-pretrained recall of test molecules. It applies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answer at 96.4% precision. We release the benchmark, code, and per-item outputs.</vt:lpwstr>
  </property>
  <property fmtid="{D5CDD505-2E9C-101B-9397-08002B2CF9AE}" pid="3" name="bibliography">
    <vt:lpwstr/>
  </property>
  <property fmtid="{D5CDD505-2E9C-101B-9397-08002B2CF9AE}" pid="4" name="date">
    <vt:lpwstr/>
  </property>
</Properties>
</file>