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0.png" ContentType="image/png"/>
  <Override PartName="/word/media/rId36.png" ContentType="image/png"/>
  <Override PartName="/word/media/rId5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 the opposite profile</w:t>
      </w:r>
      <w:r>
        <w:t xml:space="preserve"> </w:t>
      </w:r>
      <w:r>
        <w:t xml:space="preserve">(47.7% validity, 13.8% recovery), so the two are ordered one way by validity</w:t>
      </w:r>
      <w:r>
        <w:t xml:space="preserve"> </w:t>
      </w:r>
      <w:r>
        <w:t xml:space="preserve">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supports a pruning rule selected to be lossless on the development split; and a</w:t>
      </w:r>
      <w:r>
        <w:t xml:space="preserve"> </w:t>
      </w:r>
      <w:r>
        <w:t xml:space="preserve">character-level chemical language model ranks what 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repair pairs, which our method needs none of.</w:t>
      </w:r>
      <w:r>
        <w:t xml:space="preserve"> </w:t>
      </w:r>
      <w:r>
        <w:t xml:space="preserve">The</w:t>
      </w:r>
      <w:r>
        <w:t xml:space="preserve"> </w:t>
      </w:r>
      <w:r>
        <w:rPr>
          <w:smallCaps/>
        </w:rPr>
        <w:t xml:space="preserve">EnumRank</w:t>
      </w:r>
      <w:r>
        <w:t xml:space="preserve"> </w:t>
      </w:r>
      <w:r>
        <w:t xml:space="preserve">ranker is trained only on a disjoint molecule split, so its headline</w:t>
      </w:r>
      <w:r>
        <w:t xml:space="preserve"> </w:t>
      </w:r>
      <w:r>
        <w:t xml:space="preserve">result does not depend on web-pretrained recall of test molecules. It applies to</w:t>
      </w:r>
      <w:r>
        <w:t xml:space="preserve"> </w:t>
      </w:r>
      <w:r>
        <w:t xml:space="preserve">real generative-model output: 91.5% of 4</w:t>
      </w:r>
      <w:r>
        <w:t xml:space="preserve">,</w:t>
      </w:r>
      <w:r>
        <w:t xml:space="preserve">009 genuinely invalid strings from</w:t>
      </w:r>
      <w:r>
        <w:t xml:space="preserve"> </w:t>
      </w:r>
      <w:r>
        <w:t xml:space="preserve">a character-level generator have a non-empty one-edit candidate set, and on</w:t>
      </w:r>
      <w:r>
        <w:t xml:space="preserve"> </w:t>
      </w:r>
      <w:r>
        <w:t xml:space="preserve">corruptions of that generator’s own molecules recovery is 78.9%. On an external benchmark built with another group’s corruption code and corpus,</w:t>
      </w:r>
      <w:r>
        <w:t xml:space="preserve"> </w:t>
      </w:r>
      <w:r>
        <w:t xml:space="preserve">recovery among reachable items is 87.5%, and output is always valid where it</w:t>
      </w:r>
      <w:r>
        <w:t xml:space="preserve"> </w:t>
      </w:r>
      <w:r>
        <w:t xml:space="preserve">answers.</w:t>
      </w:r>
      <w:r>
        <w:t xml:space="preserve"> </w:t>
      </w:r>
      <w:r>
        <w:t xml:space="preserve">Coverage collapses from 99.7% to 0.5% once two errors coincide, bounding the</w:t>
      </w:r>
      <w:r>
        <w:t xml:space="preserve"> </w:t>
      </w:r>
      <w:r>
        <w:t xml:space="preserve">scope. Ranking confidence supports abstention: 46% of inputs answer at 96.4%</w:t>
      </w:r>
      <w:r>
        <w:t xml:space="preserve"> </w:t>
      </w:r>
      <w:r>
        <w:t xml:space="preserve">precision. 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0"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p>
      <w:pPr>
        <w:pStyle w:val="BodyText"/>
      </w:pPr>
      <w:r>
        <w:t xml:space="preserve">To ask it we build a leakage-controlled benchmark of corrupted SMILES with known</w:t>
      </w:r>
      <w:r>
        <w:t xml:space="preserve"> </w:t>
      </w:r>
      <w:r>
        <w:t xml:space="preserve">ground truth, drawn from a held-out molecule pool and calibrated to the error mix</w:t>
      </w:r>
      <w:r>
        <w:t xml:space="preserve"> </w:t>
      </w:r>
      <w:r>
        <w:t xml:space="preserve">a real generative model actually produces (Section </w:t>
      </w:r>
      <w:hyperlink w:anchor="sec:bench">
        <w:r>
          <w:rPr>
            <w:rStyle w:val="Hyperlink"/>
          </w:rPr>
          <w:t xml:space="preserve">4</w:t>
        </w:r>
      </w:hyperlink>
      <w:r>
        <w:t xml:space="preserve">). On that</w:t>
      </w:r>
      <w:r>
        <w:t xml:space="preserve"> </w:t>
      </w:r>
      <w:r>
        <w:t xml:space="preserve">benchmark we measure how far validity and recovery come apart, and find the gap</w:t>
      </w:r>
      <w:r>
        <w:t xml:space="preserve"> </w:t>
      </w:r>
      <w:r>
        <w:t xml:space="preserve">wide enough to reverse the ordering of published systems: that validity is</w:t>
      </w:r>
      <w:r>
        <w:t xml:space="preserve"> </w:t>
      </w:r>
      <w:r>
        <w:t xml:space="preserve">insufficient has been argued qualitatively </w:t>
      </w:r>
      <w:r>
        <w:t xml:space="preserve">(Yoon and Lee 2026)</w:t>
      </w:r>
      <w:r>
        <w:t xml:space="preserve">, and we quantify the</w:t>
      </w:r>
      <w:r>
        <w:t xml:space="preserve"> </w:t>
      </w:r>
      <w:r>
        <w:t xml:space="preserve">consequence (Section </w:t>
      </w:r>
      <w:hyperlink w:anchor="sec:exp1">
        <w:r>
          <w:rPr>
            <w:rStyle w:val="Hyperlink"/>
          </w:rPr>
          <w:t xml:space="preserve">6.1</w:t>
        </w:r>
      </w:hyperlink>
      <w:r>
        <w:t xml:space="preserve">).</w:t>
      </w:r>
    </w:p>
    <w:p>
      <w:pPr>
        <w:pStyle w:val="BodyText"/>
      </w:pPr>
      <w:r>
        <w:t xml:space="preserve">The method follows from the measurement. We take the bounded-edit</w:t>
      </w:r>
      <w:r>
        <w:t xml:space="preserve"> </w:t>
      </w:r>
      <w:r>
        <w:t xml:space="preserve">constrained-selection formulation from syntax repair </w:t>
      </w:r>
      <w:r>
        <w:t xml:space="preserve">(Considine 2025)</w:t>
      </w:r>
      <w:r>
        <w:t xml:space="preserve"> </w:t>
      </w:r>
      <w:r>
        <w:t xml:space="preserve">and ask what it takes to make it work for molecules, instantiating it with a</w:t>
      </w:r>
      <w:r>
        <w:t xml:space="preserve"> </w:t>
      </w:r>
      <w:r>
        <w:t xml:space="preserve">chemistry toolkit’s diagnosis as the pruning constraint and a chemical language</w:t>
      </w:r>
      <w:r>
        <w:t xml:space="preserve"> </w:t>
      </w:r>
      <w:r>
        <w:t xml:space="preserve">model as the prior. The resulting system,</w:t>
      </w:r>
      <w:r>
        <w:t xml:space="preserve"> </w:t>
      </w:r>
      <w:r>
        <w:rPr>
          <w:smallCaps/>
        </w:rPr>
        <w:t xml:space="preserve">EnumRank</w:t>
      </w:r>
      <w:r>
        <w:t xml:space="preserve">, attains 100.0% validity and</w:t>
      </w:r>
      <w:r>
        <w:t xml:space="preserve"> </w:t>
      </w:r>
      <w:r>
        <w:t xml:space="preserve">80.7% exact recovery (Sections </w:t>
      </w:r>
      <w:hyperlink w:anchor="sec:method">
        <w:r>
          <w:rPr>
            <w:rStyle w:val="Hyperlink"/>
          </w:rPr>
          <w:t xml:space="preserve">5</w:t>
        </w:r>
      </w:hyperlink>
      <w:r>
        <w:t xml:space="preserve">–</w:t>
      </w:r>
      <w:hyperlink w:anchor="sec:exp4">
        <w:r>
          <w:rPr>
            <w:rStyle w:val="Hyperlink"/>
          </w:rPr>
          <w:t xml:space="preserve">6.4</w:t>
        </w:r>
      </w:hyperlink>
      <w:r>
        <w:t xml:space="preserve">), and the two</w:t>
      </w:r>
      <w:r>
        <w:t xml:space="preserve"> </w:t>
      </w:r>
      <w:r>
        <w:t xml:space="preserve">halves can be separated: enumeration makes recovery possible, covering the</w:t>
      </w:r>
      <w:r>
        <w:t xml:space="preserve"> </w:t>
      </w:r>
      <w:r>
        <w:t xml:space="preserve">ground truth for 99.79% of items, while on that fixed pruned candidate set</w:t>
      </w:r>
      <w:r>
        <w:t xml:space="preserve"> </w:t>
      </w:r>
      <w:r>
        <w:t xml:space="preserve">selection raises exact recovery from 13.6% under uniform choice to 80.7% with</w:t>
      </w:r>
      <w:r>
        <w:t xml:space="preserve"> </w:t>
      </w:r>
      <w:r>
        <w:t xml:space="preserve">the domain language model. For a point of comparison outside its own family, we</w:t>
      </w:r>
      <w:r>
        <w:t xml:space="preserve"> </w:t>
      </w:r>
      <w:r>
        <w:t xml:space="preserve">train a supervised corrector in-distribution on 245k repair pairs;</w:t>
      </w:r>
      <w:r>
        <w:t xml:space="preserve"> </w:t>
      </w:r>
      <w:r>
        <w:rPr>
          <w:smallCaps/>
        </w:rPr>
        <w:t xml:space="preserve">EnumRank</w:t>
      </w:r>
      <w:r>
        <w:t xml:space="preserve"> </w:t>
      </w:r>
      <w:r>
        <w:t xml:space="preserve">beats</w:t>
      </w:r>
      <w:r>
        <w:t xml:space="preserve"> </w:t>
      </w:r>
      <w:r>
        <w:t xml:space="preserve">it without using any repair supervision at all (Section </w:t>
      </w:r>
      <w:hyperlink w:anchor="sec:exp5">
        <w:r>
          <w:rPr>
            <w:rStyle w:val="Hyperlink"/>
          </w:rPr>
          <w:t xml:space="preserve">6.5</w:t>
        </w:r>
      </w:hyperlink>
      <w:r>
        <w:t xml:space="preserve">).</w:t>
      </w:r>
    </w:p>
    <w:bookmarkEnd w:id="9"/>
    <w:bookmarkEnd w:id="10"/>
    <w:bookmarkStart w:id="16" w:name="related-work"/>
    <w:p>
      <w:pPr>
        <w:pStyle w:val="Heading1"/>
      </w:pPr>
      <w:r>
        <w:t xml:space="preserve">Related work</w:t>
      </w:r>
    </w:p>
    <w:bookmarkStart w:id="11"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1"/>
    <w:bookmarkStart w:id="12" w:name="correcting-invalid-strings."/>
    <w:p>
      <w:pPr>
        <w:pStyle w:val="Heading4"/>
      </w:pPr>
      <w:r>
        <w:t xml:space="preserve">Correcting invalid strings.</w:t>
      </w:r>
    </w:p>
    <w:p>
      <w:pPr>
        <w:pStyle w:val="FirstParagraph"/>
      </w:pPr>
      <w:r>
        <w:t xml:space="preserve">Closest to our setting are systems that repair broken SMILES directly. 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Neither work is validity-only. What neither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2"/>
    <w:bookmarkStart w:id="13"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3"/>
    <w:bookmarkStart w:id="14"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4"/>
    <w:bookmarkStart w:id="15"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the symbolic component defines a sound hypothesis space</w:t>
      </w:r>
      <w:r>
        <w:t xml:space="preserve"> </w:t>
      </w:r>
      <w:r>
        <w:t xml:space="preserve">and the neural component only ranks within it. That division is not ours.</w:t>
      </w:r>
      <w:r>
        <w:t xml:space="preserve"> </w:t>
      </w:r>
      <w:r>
        <w:t xml:space="preserve">Considine (2025)</w:t>
      </w:r>
      <w:r>
        <w:t xml:space="preserve"> </w:t>
      </w:r>
      <w:r>
        <w:t xml:space="preserve">formulates bounded syntax repair as an intersection</w:t>
      </w:r>
      <w:r>
        <w:t xml:space="preserve"> </w:t>
      </w:r>
      <w:r>
        <w:t xml:space="preserve">of a context-free language with a Levenshtein automaton, separating exact</w:t>
      </w:r>
      <w:r>
        <w:t xml:space="preserve"> </w:t>
      </w:r>
      <w:r>
        <w:t xml:space="preserve">admissibility from probabilistic ranking, and argues that coverage must be</w:t>
      </w:r>
      <w:r>
        <w:t xml:space="preserve"> </w:t>
      </w:r>
      <w:r>
        <w:t xml:space="preserve">measured because reranking cannot repair a retrieval failure. We adopt that</w:t>
      </w:r>
      <w:r>
        <w:t xml:space="preserve"> </w:t>
      </w:r>
      <w:r>
        <w:t xml:space="preserve">formulation and ask what it takes to make it work for molecules, where the</w:t>
      </w:r>
      <w:r>
        <w:t xml:space="preserve"> </w:t>
      </w:r>
      <w:r>
        <w:t xml:space="preserve">analogous machinery is unavailable: by our own measured error mix, kekulisation</w:t>
      </w:r>
      <w:r>
        <w:t xml:space="preserve"> </w:t>
      </w:r>
      <w:r>
        <w:t xml:space="preserve">and valence violations account for 56.5% of real failures, and neither is</w:t>
      </w:r>
      <w:r>
        <w:t xml:space="preserve"> </w:t>
      </w:r>
      <w:r>
        <w:t xml:space="preserve">context-free. Our soundness therefore comes from an oracle filter (RDKit parse and sanitise)</w:t>
      </w:r>
      <w:r>
        <w:t xml:space="preserve"> </w:t>
      </w:r>
      <w:r>
        <w:t xml:space="preserve">rather than from a grammar, and the pruning constraint from that same toolkit’s</w:t>
      </w:r>
      <w:r>
        <w:t xml:space="preserve"> </w:t>
      </w:r>
      <w:r>
        <w:t xml:space="preserve">diagnosis.</w:t>
      </w:r>
    </w:p>
    <w:bookmarkEnd w:id="15"/>
    <w:bookmarkEnd w:id="16"/>
    <w:bookmarkStart w:id="17"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1"/>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1"/>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1"/>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1"/>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1"/>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7"/>
    <w:bookmarkStart w:id="21" w:name="sec:bench"/>
    <w:p>
      <w:pPr>
        <w:pStyle w:val="Heading1"/>
      </w:pPr>
      <w:r>
        <w:t xml:space="preserve">A leakage-controlled recovery benchmark</w:t>
      </w:r>
    </w:p>
    <w:p>
      <w:pPr>
        <w:pStyle w:val="FirstParagraph"/>
      </w:pPr>
      <w:r>
        <w:t xml:space="preserve">Measuring recovery requires ground truth, which real generative-model failures</w:t>
      </w:r>
      <w:r>
        <w:t xml:space="preserve"> </w:t>
      </w:r>
      <w:r>
        <w:t xml:space="preserve">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8"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mirror the errors a real model</w:t>
      </w:r>
      <w:r>
        <w:t xml:space="preserve"> </w:t>
      </w:r>
      <w:r>
        <w:t xml:space="preserve">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8"/>
    <w:bookmarkStart w:id="19"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19"/>
    <w:bookmarkStart w:id="20"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0"/>
    <w:bookmarkEnd w:id="21"/>
    <w:bookmarkStart w:id="23"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2"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2"/>
    <w:bookmarkEnd w:id="23"/>
    <w:bookmarkStart w:id="63"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29"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4" w:name="tab:main"/>
    <w:p>
      <w:pPr>
        <w:pStyle w:val="TableCaption"/>
      </w:pPr>
      <w:r>
        <w:t xml:space="preserve">Recovery on the held-out test split (</w:t>
      </w:r>
      <m:oMath>
        <m:r>
          <m:t>n</m:t>
        </m:r>
        <m:r>
          <m:rPr>
            <m:sty m:val="p"/>
          </m:rPr>
          <m:t>=</m:t>
        </m:r>
        <m:r>
          <m:t>4</m:t>
        </m:r>
        <m:r>
          <m:rPr>
            <m:sty m:val="p"/>
          </m:rPr>
          <m:t>,</m:t>
        </m:r>
        <m:r>
          <m:t>200</m:t>
        </m:r>
      </m:oMath>
      <w:r>
        <w:t xml:space="preserve">). Validity and exact</w:t>
      </w:r>
      <w:r>
        <w:t xml:space="preserve"> </w:t>
      </w:r>
      <w:r>
        <w:t xml:space="preserve">recovery are overall rates; Tanimoto similarity and scaffold match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Validity and exact recovery are overall rates; Tanimoto similarity and scaffold match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4"/>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8" w:name="fig:plane"/>
    <w:p>
      <w:pPr>
        <w:pStyle w:val="CaptionedFigure"/>
      </w:pPr>
      <w:r>
        <w:drawing>
          <wp:inline>
            <wp:extent cx="4160520" cy="3118169"/>
            <wp:effectExtent b="0" l="0" r="0" t="0"/>
            <wp:docPr descr="" title="" id="26" name="Picture"/>
            <a:graphic>
              <a:graphicData uri="http://schemas.openxmlformats.org/drawingml/2006/picture">
                <pic:pic>
                  <pic:nvPicPr>
                    <pic:cNvPr descr="fig_validity_recovery_plane.png" id="27" name="Picture"/>
                    <pic:cNvPicPr>
                      <a:picLocks noChangeArrowheads="1" noChangeAspect="1"/>
                    </pic:cNvPicPr>
                  </pic:nvPicPr>
                  <pic:blipFill>
                    <a:blip r:embed="rId25"/>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8"/>
    <w:bookmarkEnd w:id="29"/>
    <w:bookmarkStart w:id="34"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3" w:name="fig:space"/>
    <w:p>
      <w:pPr>
        <w:pStyle w:val="CaptionedFigure"/>
      </w:pPr>
      <w:r>
        <w:drawing>
          <wp:inline>
            <wp:extent cx="4501661" cy="2299761"/>
            <wp:effectExtent b="0" l="0" r="0" t="0"/>
            <wp:docPr descr="" title="" id="31" name="Picture"/>
            <a:graphic>
              <a:graphicData uri="http://schemas.openxmlformats.org/drawingml/2006/picture">
                <pic:pic>
                  <pic:nvPicPr>
                    <pic:cNvPr descr="fig_candidate_space.png" id="32" name="Picture"/>
                    <pic:cNvPicPr>
                      <a:picLocks noChangeArrowheads="1" noChangeAspect="1"/>
                    </pic:cNvPicPr>
                  </pic:nvPicPr>
                  <pic:blipFill>
                    <a:blip r:embed="rId30"/>
                    <a:stretch>
                      <a:fillRect/>
                    </a:stretch>
                  </pic:blipFill>
                  <pic:spPr bwMode="auto">
                    <a:xfrm>
                      <a:off x="0" y="0"/>
                      <a:ext cx="4501661" cy="2299761"/>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3"/>
    <w:bookmarkEnd w:id="34"/>
    <w:bookmarkStart w:id="35"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5"/>
    <w:bookmarkStart w:id="45"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39" w:name="fig:ladder"/>
    <w:p>
      <w:pPr>
        <w:pStyle w:val="CaptionedFigure"/>
      </w:pPr>
      <w:r>
        <w:drawing>
          <wp:inline>
            <wp:extent cx="4267200" cy="2266259"/>
            <wp:effectExtent b="0" l="0" r="0" t="0"/>
            <wp:docPr descr="" title="" id="37" name="Picture"/>
            <a:graphic>
              <a:graphicData uri="http://schemas.openxmlformats.org/drawingml/2006/picture">
                <pic:pic>
                  <pic:nvPicPr>
                    <pic:cNvPr descr="fig_ranking_ladder.png" id="38" name="Picture"/>
                    <pic:cNvPicPr>
                      <a:picLocks noChangeArrowheads="1" noChangeAspect="1"/>
                    </pic:cNvPicPr>
                  </pic:nvPicPr>
                  <pic:blipFill>
                    <a:blip r:embed="rId36"/>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39"/>
    <w:bookmarkStart w:id="43" w:name="fig:cat"/>
    <w:p>
      <w:pPr>
        <w:pStyle w:val="CaptionedFigure"/>
      </w:pPr>
      <w:r>
        <w:drawing>
          <wp:inline>
            <wp:extent cx="4437439" cy="2709559"/>
            <wp:effectExtent b="0" l="0" r="0" t="0"/>
            <wp:docPr descr="" title="" id="41" name="Picture"/>
            <a:graphic>
              <a:graphicData uri="http://schemas.openxmlformats.org/drawingml/2006/picture">
                <pic:pic>
                  <pic:nvPicPr>
                    <pic:cNvPr descr="fig_per_category.png" id="42" name="Picture"/>
                    <pic:cNvPicPr>
                      <a:picLocks noChangeArrowheads="1" noChangeAspect="1"/>
                    </pic:cNvPicPr>
                  </pic:nvPicPr>
                  <pic:blipFill>
                    <a:blip r:embed="rId40"/>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3"/>
    <w:bookmarkStart w:id="44" w:name="Xfeb71ed8f462cb9bf2bf15440fcc5f070e1bebd"/>
    <w:p>
      <w:pPr>
        <w:pStyle w:val="Heading4"/>
      </w:pPr>
      <w:r>
        <w:t xml:space="preserve">Free generation is poorly suited to this repair setting.</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4"/>
    <w:bookmarkEnd w:id="45"/>
    <w:bookmarkStart w:id="46"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6"/>
    <w:bookmarkStart w:id="50"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7" w:name="X8322b27c02e2fe346729b54e240f915b0fe4ff3"/>
    <w:p>
      <w:pPr>
        <w:pStyle w:val="Heading4"/>
      </w:pPr>
      <w:r>
        <w:t xml:space="preserve">One-edit valid candidates exist for most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The one-edit</w:t>
      </w:r>
      <w:r>
        <w:t xml:space="preserve"> </w:t>
      </w:r>
      <w:r>
        <w:t xml:space="preserve">candidate space is therefore operationally useful for most real generator</w:t>
      </w:r>
      <w:r>
        <w:t xml:space="preserve"> </w:t>
      </w:r>
      <w:r>
        <w:t xml:space="preserve">failures, and is not an artefact of how we built the benchmark, although</w:t>
      </w:r>
      <w:r>
        <w:t xml:space="preserve"> </w:t>
      </w:r>
      <w:r>
        <w:t xml:space="preserve">intended recovery cannot be established here without ground truth. For the remaining 8.5% no valid molecule lies within one</w:t>
      </w:r>
      <w:r>
        <w:t xml:space="preserve"> </w:t>
      </w:r>
      <w:r>
        <w:t xml:space="preserve">token edit, so they fall outside the current hypothesis space; we return them</w:t>
      </w:r>
      <w:r>
        <w:t xml:space="preserve"> </w:t>
      </w:r>
      <w:r>
        <w:t xml:space="preserve">unchanged rather than guessing, which is the correct behaviour for a system that</w:t>
      </w:r>
      <w:r>
        <w:t xml:space="preserve"> </w:t>
      </w:r>
      <w:r>
        <w:t xml:space="preserve">is asked to preserve identity. We cannot say why those sets are empty, since</w:t>
      </w:r>
      <w:r>
        <w:t xml:space="preserve"> </w:t>
      </w:r>
      <w:r>
        <w:t xml:space="preserve">these are real failures for which no ground truth exists; only that a one-edit</w:t>
      </w:r>
      <w:r>
        <w:t xml:space="preserve"> </w:t>
      </w:r>
      <w:r>
        <w:t xml:space="preserve">enumeration does not reach a valid molecule.</w:t>
      </w:r>
    </w:p>
    <w:bookmarkEnd w:id="47"/>
    <w:bookmarkStart w:id="48" w:name="X359ba524faceb70674efeaa407d3ddf78e46703"/>
    <w:p>
      <w:pPr>
        <w:pStyle w:val="Heading4"/>
      </w:pPr>
      <w:r>
        <w:t xml:space="preserve">Identity preservation without ground truth.</w:t>
      </w:r>
    </w:p>
    <w:p>
      <w:pPr>
        <w:pStyle w:val="FirstParagraph"/>
      </w:pPr>
      <w:r>
        <w:t xml:space="preserve">Exact recovery cannot be measured on real failures, since nobody knows which</w:t>
      </w:r>
      <w:r>
        <w:t xml:space="preserve"> </w:t>
      </w:r>
      <w:r>
        <w:t xml:space="preserve">molecule the model intended, and that is precisely why the controlled benchmark</w:t>
      </w:r>
      <w:r>
        <w:t xml:space="preserve"> </w:t>
      </w:r>
      <w:r>
        <w:t xml:space="preserve">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8"/>
    <w:bookmarkStart w:id="49"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The method transfers to the distribution a real model produces, losing under two</w:t>
      </w:r>
      <w:r>
        <w:t xml:space="preserve"> </w:t>
      </w:r>
      <w:r>
        <w:t xml:space="preserve">points.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49"/>
    <w:bookmarkEnd w:id="50"/>
    <w:bookmarkStart w:id="52"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and makes the</w:t>
      </w:r>
      <w:r>
        <w:t xml:space="preserve"> </w:t>
      </w:r>
      <w:r>
        <w:t xml:space="preserve">measurement in Section </w:t>
      </w:r>
      <w:hyperlink w:anchor="sec:exp6">
        <w:r>
          <w:rPr>
            <w:rStyle w:val="Hyperlink"/>
          </w:rPr>
          <w:t xml:space="preserve">6.6</w:t>
        </w:r>
      </w:hyperlink>
      <w:r>
        <w:t xml:space="preserve"> </w:t>
      </w:r>
      <w:r>
        <w:t xml:space="preserve">load-bearing: 91.5% of</w:t>
      </w:r>
      <w:r>
        <w:t xml:space="preserve"> </w:t>
      </w:r>
      <w:r>
        <w:rPr>
          <w:i/>
          <w:iCs/>
        </w:rPr>
        <w:t xml:space="preserve">real</w:t>
      </w:r>
      <w:r>
        <w:t xml:space="preserve"> </w:t>
      </w:r>
      <w:r>
        <w:t xml:space="preserve">generator failures fall on the useful side of it.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1"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1"/>
    <w:bookmarkEnd w:id="52"/>
    <w:bookmarkStart w:id="54"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3"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For the 15.5% it declines, no valid molecule lies within one token</w:t>
      </w:r>
      <w:r>
        <w:t xml:space="preserve"> </w:t>
      </w:r>
      <w:r>
        <w:t xml:space="preserve">edit of the input. That is not the same as saying each carries several errors:</w:t>
      </w:r>
      <w:r>
        <w:t xml:space="preserve"> </w:t>
      </w:r>
      <w:r>
        <w:t xml:space="preserve">their operators permute tokens and graft whole fragments, either of which can</w:t>
      </w:r>
      <w:r>
        <w:t xml:space="preserve"> </w:t>
      </w:r>
      <w:r>
        <w:t xml:space="preserve">leave the one-edit space in a single application. Declining them is the correct</w:t>
      </w:r>
      <w:r>
        <w:t xml:space="preserve"> </w:t>
      </w:r>
      <w:r>
        <w:t xml:space="preserve">behaviour for a system whose purpose is to preserve identity.</w:t>
      </w:r>
    </w:p>
    <w:bookmarkEnd w:id="53"/>
    <w:bookmarkEnd w:id="54"/>
    <w:bookmarkStart w:id="55"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5"/>
    <w:bookmarkStart w:id="56" w:name="statistical-significance"/>
    <w:p>
      <w:pPr>
        <w:pStyle w:val="Heading2"/>
      </w:pPr>
      <w:r>
        <w:t xml:space="preserve">Statistical significance</w:t>
      </w:r>
    </w:p>
    <w:p>
      <w:pPr>
        <w:pStyle w:val="FirstParagraph"/>
      </w:pPr>
      <w:r>
        <w:t xml:space="preserve">The six prespecified pairwise comparisons below are significant under exact</w:t>
      </w:r>
      <w:r>
        <w:t xml:space="preserve"> </w:t>
      </w:r>
      <w:r>
        <w:t xml:space="preserve">paired 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6"/>
    <w:bookmarkStart w:id="57"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7"/>
    <w:bookmarkStart w:id="62"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1" w:name="fig:risk"/>
    <w:p>
      <w:pPr>
        <w:pStyle w:val="CaptionedFigure"/>
      </w:pPr>
      <w:r>
        <w:drawing>
          <wp:inline>
            <wp:extent cx="3119357" cy="2299761"/>
            <wp:effectExtent b="0" l="0" r="0" t="0"/>
            <wp:docPr descr="" title="" id="59" name="Picture"/>
            <a:graphic>
              <a:graphicData uri="http://schemas.openxmlformats.org/drawingml/2006/picture">
                <pic:pic>
                  <pic:nvPicPr>
                    <pic:cNvPr descr="fig_risk_coverage.png" id="60" name="Picture"/>
                    <pic:cNvPicPr>
                      <a:picLocks noChangeArrowheads="1" noChangeAspect="1"/>
                    </pic:cNvPicPr>
                  </pic:nvPicPr>
                  <pic:blipFill>
                    <a:blip r:embed="rId58"/>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1"/>
    <w:bookmarkEnd w:id="62"/>
    <w:bookmarkEnd w:id="63"/>
    <w:bookmarkStart w:id="67" w:name="discussion"/>
    <w:p>
      <w:pPr>
        <w:pStyle w:val="Heading1"/>
      </w:pPr>
      <w:r>
        <w:t xml:space="preserve">Discussion</w:t>
      </w:r>
    </w:p>
    <w:bookmarkStart w:id="64"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4"/>
    <w:bookmarkStart w:id="65" w:name="where-the-difficulty-actually-lives."/>
    <w:p>
      <w:pPr>
        <w:pStyle w:val="Heading4"/>
      </w:pPr>
      <w:r>
        <w:t xml:space="preserve">Where the difficulty actually lives.</w:t>
      </w:r>
    </w:p>
    <w:p>
      <w:pPr>
        <w:pStyle w:val="FirstParagraph"/>
      </w:pPr>
      <w:r>
        <w:t xml:space="preserve">Symbolic enumeration makes recovery</w:t>
      </w:r>
      <w:r>
        <w:t xml:space="preserve"> </w:t>
      </w:r>
      <w:r>
        <w:rPr>
          <w:i/>
          <w:iCs/>
        </w:rPr>
        <w:t xml:space="preserve">possible</w:t>
      </w:r>
      <w:r>
        <w:t xml:space="preserve">: it delivers a sound</w:t>
      </w:r>
      <w:r>
        <w:t xml:space="preserve"> </w:t>
      </w:r>
      <w:r>
        <w:t xml:space="preserve">candidate set containing the answer 99.79% of the time. The chemical prior</w:t>
      </w:r>
      <w:r>
        <w:t xml:space="preserve"> </w:t>
      </w:r>
      <w:r>
        <w:t xml:space="preserve">makes recovery</w:t>
      </w:r>
      <w:r>
        <w:t xml:space="preserve"> </w:t>
      </w:r>
      <w:r>
        <w:rPr>
          <w:i/>
          <w:iCs/>
        </w:rPr>
        <w:t xml:space="preserve">accurate</w:t>
      </w:r>
      <w:r>
        <w:t xml:space="preserve">, raising exact recovery on the same pruned</w:t>
      </w:r>
      <w:r>
        <w:t xml:space="preserve"> </w:t>
      </w:r>
      <w:r>
        <w:t xml:space="preserve">candidate set from 13.6% with uniform selection to 80.7%. Neither half</w:t>
      </w:r>
      <w:r>
        <w:t xml:space="preserve"> </w:t>
      </w:r>
      <w:r>
        <w:t xml:space="preserve">suffices alone. Enumeration without a prior already beats the published</w:t>
      </w:r>
      <w:r>
        <w:t xml:space="preserve"> </w:t>
      </w:r>
      <w:r>
        <w:t xml:space="preserve">corrector we evaluate by an order of magnitude (13.6% against 1.2%) but falls</w:t>
      </w:r>
      <w:r>
        <w:t xml:space="preserve"> </w:t>
      </w:r>
      <w:r>
        <w:t xml:space="preserve">well short of a supervised model trained for the task (59.4%); a prior without</w:t>
      </w:r>
      <w:r>
        <w:t xml:space="preserve"> </w:t>
      </w:r>
      <w:r>
        <w:t xml:space="preserve">enumeration, the free LLM loop, sacrifices validity and drifts off the intended</w:t>
      </w:r>
      <w:r>
        <w:t xml:space="preserve"> </w:t>
      </w:r>
      <w:r>
        <w:t xml:space="preserve">molecule.</w:t>
      </w:r>
    </w:p>
    <w:bookmarkEnd w:id="65"/>
    <w:bookmarkStart w:id="66" w:name="limitations."/>
    <w:p>
      <w:pPr>
        <w:pStyle w:val="Heading4"/>
      </w:pPr>
      <w:r>
        <w:t xml:space="preserve">Limitations.</w:t>
      </w:r>
    </w:p>
    <w:p>
      <w:pPr>
        <w:pStyle w:val="FirstParagraph"/>
      </w:pPr>
      <w:r>
        <w:t xml:space="preserve">Our benchmark applies single-token corruptions. This is a deliberately narrow</w:t>
      </w:r>
      <w:r>
        <w:t xml:space="preserve"> </w:t>
      </w:r>
      <w:r>
        <w:t xml:space="preserve">hypothesis space; Section </w:t>
      </w:r>
      <w:hyperlink w:anchor="sec:exp6">
        <w:r>
          <w:rPr>
            <w:rStyle w:val="Hyperlink"/>
          </w:rPr>
          <w:t xml:space="preserve">6.6</w:t>
        </w:r>
      </w:hyperlink>
      <w:r>
        <w:t xml:space="preserve"> </w:t>
      </w:r>
      <w:r>
        <w:t xml:space="preserve">shows that 91.5% of real generator</w:t>
      </w:r>
      <w:r>
        <w:t xml:space="preserve"> </w:t>
      </w:r>
      <w:r>
        <w:t xml:space="preserve">failures have a non-empty one-edit valid candidate set, while the remaining</w:t>
      </w:r>
      <w:r>
        <w:t xml:space="preserve"> </w:t>
      </w:r>
      <w:r>
        <w:t xml:space="preserve">8.5% have no valid repair within that space and are outside the current</w:t>
      </w:r>
      <w:r>
        <w:t xml:space="preserve"> </w:t>
      </w:r>
      <w:r>
        <w:t xml:space="preserve">enumerator.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no observed drop in conditional recovery on an</w:t>
      </w:r>
      <w:r>
        <w:t xml:space="preserve"> </w:t>
      </w:r>
      <w:r>
        <w:t xml:space="preserve">external molecule corpus it never saw, but the cost of a deliberately</w:t>
      </w:r>
      <w:r>
        <w:t xml:space="preserve"> </w:t>
      </w:r>
      <w:r>
        <w:t xml:space="preserve">adversarial mismatch remains uncharacterised.</w:t>
      </w:r>
    </w:p>
    <w:bookmarkEnd w:id="66"/>
    <w:bookmarkEnd w:id="67"/>
    <w:bookmarkStart w:id="68"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8"/>
    <w:bookmarkStart w:id="103" w:name="declarations"/>
    <w:p>
      <w:pPr>
        <w:pStyle w:val="Heading1"/>
      </w:pPr>
      <w:r>
        <w:t xml:space="preserve">Declarations</w:t>
      </w:r>
    </w:p>
    <w:bookmarkStart w:id="70"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69">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0"/>
    <w:bookmarkStart w:id="71"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1"/>
    <w:bookmarkStart w:id="72" w:name="consent-for-publication."/>
    <w:p>
      <w:pPr>
        <w:pStyle w:val="Heading4"/>
      </w:pPr>
      <w:r>
        <w:t xml:space="preserve">Consent for publication.</w:t>
      </w:r>
    </w:p>
    <w:p>
      <w:pPr>
        <w:pStyle w:val="FirstParagraph"/>
      </w:pPr>
      <w:r>
        <w:t xml:space="preserve">Not applicable.</w:t>
      </w:r>
    </w:p>
    <w:bookmarkEnd w:id="72"/>
    <w:bookmarkStart w:id="73" w:name="competing-interests."/>
    <w:p>
      <w:pPr>
        <w:pStyle w:val="Heading4"/>
      </w:pPr>
      <w:r>
        <w:t xml:space="preserve">Competing interests.</w:t>
      </w:r>
    </w:p>
    <w:p>
      <w:pPr>
        <w:pStyle w:val="FirstParagraph"/>
      </w:pPr>
      <w:r>
        <w:t xml:space="preserve">The authors declare no competing interests.</w:t>
      </w:r>
    </w:p>
    <w:bookmarkEnd w:id="73"/>
    <w:bookmarkStart w:id="74" w:name="funding."/>
    <w:p>
      <w:pPr>
        <w:pStyle w:val="Heading4"/>
      </w:pPr>
      <w:r>
        <w:t xml:space="preserve">Funding.</w:t>
      </w:r>
    </w:p>
    <w:p>
      <w:pPr>
        <w:pStyle w:val="FirstParagraph"/>
      </w:pPr>
      <w:r>
        <w:t xml:space="preserve">Not applicable.</w:t>
      </w:r>
    </w:p>
    <w:bookmarkEnd w:id="74"/>
    <w:bookmarkStart w:id="75"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5"/>
    <w:bookmarkStart w:id="102" w:name="acknowledgements."/>
    <w:p>
      <w:pPr>
        <w:pStyle w:val="Heading4"/>
      </w:pPr>
      <w:r>
        <w:t xml:space="preserve">Acknowledgements.</w:t>
      </w:r>
    </w:p>
    <w:p>
      <w:pPr>
        <w:pStyle w:val="FirstParagraph"/>
      </w:pPr>
      <w:r>
        <w:t xml:space="preserve">Not applicable.</w:t>
      </w:r>
    </w:p>
    <w:bookmarkStart w:id="101" w:name="refs"/>
    <w:bookmarkStart w:id="76" w:name="ref-bemis1996properties"/>
    <w:p>
      <w:pPr>
        <w:pStyle w:val="Bibliography"/>
      </w:pPr>
      <w:r>
        <w:t xml:space="preserve">Bemis, Guy W, and Mark A Murcko. 1996.</w:t>
      </w:r>
      <w:r>
        <w:t xml:space="preserve"> </w:t>
      </w:r>
      <w:r>
        <w:t xml:space="preserve">“The Properties of Known Drugs. 1. Molecular Frameworks.”</w:t>
      </w:r>
      <w:r>
        <w:t xml:space="preserve"> </w:t>
      </w:r>
      <w:r>
        <w:rPr>
          <w:i/>
          <w:iCs/>
        </w:rPr>
        <w:t xml:space="preserve">Journal of Medicinal Chemistry</w:t>
      </w:r>
      <w:r>
        <w:t xml:space="preserve"> </w:t>
      </w:r>
      <w:r>
        <w:t xml:space="preserve">39 (15): 2887–93.</w:t>
      </w:r>
    </w:p>
    <w:bookmarkEnd w:id="76"/>
    <w:bookmarkStart w:id="77"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p>
    <w:bookmarkEnd w:id="77"/>
    <w:bookmarkStart w:id="78" w:name="ref-considine2025syntax"/>
    <w:p>
      <w:pPr>
        <w:pStyle w:val="Bibliography"/>
      </w:pPr>
      <w:r>
        <w:t xml:space="preserve">Considine, Breandan. 2025.</w:t>
      </w:r>
      <w:r>
        <w:t xml:space="preserve"> </w:t>
      </w:r>
      <w:r>
        <w:t xml:space="preserve">“Syntax Repair as Language Intersection.”</w:t>
      </w:r>
      <w:r>
        <w:t xml:space="preserve"> </w:t>
      </w:r>
      <w:r>
        <w:rPr>
          <w:i/>
          <w:iCs/>
        </w:rPr>
        <w:t xml:space="preserve">arXiv Preprint arXiv:2507.11873</w:t>
      </w:r>
      <w:r>
        <w:t xml:space="preserve">.</w:t>
      </w:r>
    </w:p>
    <w:bookmarkEnd w:id="78"/>
    <w:bookmarkStart w:id="79"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79"/>
    <w:bookmarkStart w:id="80"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p>
    <w:bookmarkEnd w:id="80"/>
    <w:bookmarkStart w:id="81"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EMNLP</w:t>
      </w:r>
      <w:r>
        <w:t xml:space="preserve">.</w:t>
      </w:r>
    </w:p>
    <w:bookmarkEnd w:id="81"/>
    <w:bookmarkStart w:id="82"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2"/>
    <w:bookmarkStart w:id="83"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p>
    <w:bookmarkEnd w:id="83"/>
    <w:bookmarkStart w:id="84"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p>
    <w:bookmarkEnd w:id="84"/>
    <w:bookmarkStart w:id="85"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85"/>
    <w:bookmarkStart w:id="87"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86">
        <w:r>
          <w:rPr>
            <w:rStyle w:val="Hyperlink"/>
          </w:rPr>
          <w:t xml:space="preserve">Https://www.rdkit.org</w:t>
        </w:r>
      </w:hyperlink>
      <w:r>
        <w:t xml:space="preserve">.</w:t>
      </w:r>
    </w:p>
    <w:bookmarkEnd w:id="87"/>
    <w:bookmarkStart w:id="88"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88"/>
    <w:bookmarkStart w:id="89"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p>
    <w:bookmarkEnd w:id="89"/>
    <w:bookmarkStart w:id="90" w:name="ref-qwen2025"/>
    <w:p>
      <w:pPr>
        <w:pStyle w:val="Bibliography"/>
      </w:pPr>
      <w:r>
        <w:t xml:space="preserve">Qwen Team. 2024.</w:t>
      </w:r>
      <w:r>
        <w:t xml:space="preserve"> </w:t>
      </w:r>
      <w:r>
        <w:rPr>
          <w:i/>
          <w:iCs/>
        </w:rPr>
        <w:t xml:space="preserve">Qwen2.5</w:t>
      </w:r>
      <w:r>
        <w:rPr>
          <w:i/>
          <w:iCs/>
        </w:rPr>
        <w:t xml:space="preserve"> </w:t>
      </w:r>
      <w:r>
        <w:rPr>
          <w:i/>
          <w:iCs/>
        </w:rPr>
        <w:t xml:space="preserve">Technical Report</w:t>
      </w:r>
      <w:r>
        <w:t xml:space="preserve">. Alibaba Group.</w:t>
      </w:r>
    </w:p>
    <w:bookmarkEnd w:id="90"/>
    <w:bookmarkStart w:id="91"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p>
    <w:bookmarkEnd w:id="91"/>
    <w:bookmarkStart w:id="93"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92">
        <w:r>
          <w:rPr>
            <w:rStyle w:val="Hyperlink"/>
          </w:rPr>
          <w:t xml:space="preserve">https://doi.org/10.1186/s13321-023-00696-x</w:t>
        </w:r>
      </w:hyperlink>
      <w:r>
        <w:t xml:space="preserve">.</w:t>
      </w:r>
    </w:p>
    <w:bookmarkEnd w:id="93"/>
    <w:bookmarkStart w:id="95"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94">
        <w:r>
          <w:rPr>
            <w:rStyle w:val="Hyperlink"/>
          </w:rPr>
          <w:t xml:space="preserve">https://doi.org/10.1038/s42256-024-00821-x</w:t>
        </w:r>
      </w:hyperlink>
      <w:r>
        <w:t xml:space="preserve">.</w:t>
      </w:r>
    </w:p>
    <w:bookmarkEnd w:id="95"/>
    <w:bookmarkStart w:id="97"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96">
        <w:r>
          <w:rPr>
            <w:rStyle w:val="Hyperlink"/>
          </w:rPr>
          <w:t xml:space="preserve">https://doi.org/10.18653/v1/2025.emnlp-main.1350</w:t>
        </w:r>
      </w:hyperlink>
      <w:r>
        <w:t xml:space="preserve">.</w:t>
      </w:r>
    </w:p>
    <w:bookmarkEnd w:id="97"/>
    <w:bookmarkStart w:id="98" w:name="ref-weininger1988smiles"/>
    <w:p>
      <w:pPr>
        <w:pStyle w:val="Bibliography"/>
      </w:pPr>
      <w:r>
        <w:t xml:space="preserve">Weininger, David. 1988.</w:t>
      </w:r>
      <w:r>
        <w:t xml:space="preserve"> </w:t>
      </w:r>
      <w:r>
        <w:t xml:space="preserve">“</w:t>
      </w:r>
      <w:r>
        <w:t xml:space="preserve">SMILES</w:t>
      </w:r>
      <w:r>
        <w:t xml:space="preserve">, a Chemical Language and Information System. 1. Introduction to Methodology and Encoding Rules.”</w:t>
      </w:r>
      <w:r>
        <w:t xml:space="preserve"> </w:t>
      </w:r>
      <w:r>
        <w:rPr>
          <w:i/>
          <w:iCs/>
        </w:rPr>
        <w:t xml:space="preserve">Journal of Chemical Information and Computer Sciences</w:t>
      </w:r>
      <w:r>
        <w:t xml:space="preserve"> </w:t>
      </w:r>
      <w:r>
        <w:t xml:space="preserve">28 (1): 31–36.</w:t>
      </w:r>
    </w:p>
    <w:bookmarkEnd w:id="98"/>
    <w:bookmarkStart w:id="99"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99"/>
    <w:bookmarkStart w:id="100"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00"/>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86"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86"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2026-09-20T09:10:28Z</dcterms:created>
  <dcterms:modified xsi:type="dcterms:W3CDTF">2026-09-20T09:10:28Z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are ordered one way by validity and the other by recovery.We then show that invalid-SMILES recovery is better formulated as constrained candidate selection than as sequence generation. A symbolic enumerator over single-token edits yields a candidate set containing the ground truth for 99.79% of items (median 50 candidates); the toolkit’s diagnosis supports a pruning rule selected to be lossless on the development split; and a character-level chemical language model ranks what remains. The resulting system reaches 100.0% validity and 80.7% exact recovery, versus 59.4% for a supervised sequence-to-sequence corrector trained on 245,000 repair pairs, which our method needs none of. The EnumRank ranker is trained only on a disjoint molecule split, so its headline result does not depend on web-pretrained recall of test molecules. It applies to real generative-model output: 91.5% of 4,009 genuinely invalid strings from a character-level generator have a non-empty one-edit candidate set, and on corruptions of that generator’s own molecules recovery is 78.9%. On an external benchmark built with another group’s corruption code and corpus, recovery among reachable items is 87.5%, and output is always valid where it answers. Coverage collapses from 99.7% to 0.5% once two errors coincide, bounding the scope. Ranking confidence supports abstention: 46% of inputs answer at 96.4% precision. We release the benchmark, code, and per-item outputs.</vt:lpwstr>
  </property>
  <property fmtid="{D5CDD505-2E9C-101B-9397-08002B2CF9AE}" pid="3" name="bibliography">
    <vt:lpwstr/>
  </property>
  <property fmtid="{D5CDD505-2E9C-101B-9397-08002B2CF9AE}" pid="4" name="date">
    <vt:lpwstr/>
  </property>
</Properties>
</file>