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2B6014" w14:textId="77777777" w:rsidR="007A486D" w:rsidRDefault="002F6C54">
      <w:pPr>
        <w:pStyle w:val="Title"/>
        <w:rPr>
          <w:rFonts w:hint="eastAsia"/>
        </w:rPr>
      </w:pPr>
      <w:r w:rsidRPr="002F6C54">
        <w:t>CCOR Review of AI-Enabled External Risk Signal Architecture</w:t>
      </w:r>
    </w:p>
    <w:p w14:paraId="2545048B" w14:textId="77777777" w:rsidR="002F6C54" w:rsidRDefault="002F6C54">
      <w:pPr>
        <w:pStyle w:val="Subtitle"/>
        <w:rPr>
          <w:kern w:val="0"/>
          <w:sz w:val="24"/>
          <w:szCs w:val="24"/>
          <w14:ligatures w14:val="none"/>
        </w:rPr>
      </w:pPr>
      <w:r>
        <w:t>Formal Compliance, Conduct and Operational Risk Officer Assessment</w:t>
      </w:r>
    </w:p>
    <w:p w14:paraId="4D2218EB" w14:textId="77777777" w:rsidR="002F6C54" w:rsidRDefault="002F6C54">
      <w:pPr>
        <w:pStyle w:val="Heading1"/>
        <w:rPr>
          <w:rFonts w:asciiTheme="minorHAnsi" w:hAnsiTheme="minorHAnsi" w:cstheme="minorBidi"/>
          <w:kern w:val="36"/>
          <w:sz w:val="48"/>
          <w:szCs w:val="48"/>
          <w14:ligatures w14:val="none"/>
        </w:rPr>
      </w:pPr>
      <w:r>
        <w:rPr>
          <w:rFonts w:asciiTheme="minorHAnsi" w:hAnsiTheme="minorHAnsi" w:cstheme="minorBidi"/>
        </w:rPr>
        <w:t>1. Executive View</w:t>
      </w:r>
    </w:p>
    <w:p w14:paraId="68042493" w14:textId="77777777" w:rsidR="002F6C54" w:rsidRDefault="002F6C54">
      <w:pPr>
        <w:rPr>
          <w:kern w:val="0"/>
          <w14:ligatures w14:val="none"/>
        </w:rPr>
      </w:pPr>
      <w:r>
        <w:t>From a Compliance, Conduct and Operational Risk perspective, the proposed architecture is directionally sound and defensible, provided it is implemented as a governed decision-support capability rather than an autonomous risk-decisioning tool. The strongest feature of the design is its separation between AI-assisted extraction and deterministic risk relevance determination. AI is used to convert unstructured external intelligence into structured candidate signals, while approved enterprise taxonomies, knowledge graphs, evidence rules, and policy thresholds determine risk relevance, routing, and recommended CCOR actions.</w:t>
      </w:r>
    </w:p>
    <w:p w14:paraId="54E9B628" w14:textId="77777777" w:rsidR="002F6C54" w:rsidRDefault="002F6C54">
      <w:pPr>
        <w:rPr>
          <w:kern w:val="0"/>
          <w14:ligatures w14:val="none"/>
        </w:rPr>
      </w:pPr>
      <w:r>
        <w:t>This distinction is important because it supports explainability, repeatability, auditability, and human accountability. The approach aligns with supervisory expectations that operational risk frameworks should identify threats, assess vulnerabilities, map dependencies, manage controls, and respond through governance processes rather than rely on opaque output generation. The architecture should therefore be positioned as an intelligence-to-risk-control workflow, not as an AI system that independently predicts or decides enterprise risk.</w:t>
      </w:r>
    </w:p>
    <w:p w14:paraId="2490704B" w14:textId="77777777" w:rsidR="002F6C54" w:rsidRDefault="002F6C54">
      <w:pPr>
        <w:pStyle w:val="Heading1"/>
        <w:rPr>
          <w:rFonts w:asciiTheme="minorHAnsi" w:hAnsiTheme="minorHAnsi" w:cstheme="minorBidi"/>
          <w:kern w:val="36"/>
          <w:sz w:val="48"/>
          <w:szCs w:val="48"/>
          <w14:ligatures w14:val="none"/>
        </w:rPr>
      </w:pPr>
      <w:r>
        <w:rPr>
          <w:rFonts w:asciiTheme="minorHAnsi" w:hAnsiTheme="minorHAnsi" w:cstheme="minorBidi"/>
        </w:rPr>
        <w:t>2. Overall CCOR Assessment</w:t>
      </w:r>
    </w:p>
    <w:p w14:paraId="4B5DF78A" w14:textId="77777777" w:rsidR="002F6C54" w:rsidRDefault="002F6C54">
      <w:pPr>
        <w:rPr>
          <w:kern w:val="0"/>
          <w14:ligatures w14:val="none"/>
        </w:rPr>
      </w:pPr>
      <w:r>
        <w:t>My overall assessment is conditionally supportive. The concept has a strong control rationale because it uses AI for signal extraction and enrichment, while preserving deterministic governance over risk mapping, exposure assessment, control relevance, and escalation. However, the solution should not proceed to production without clearly defined governance, data lineage, taxonomy ownership, model-risk assessment, threshold approval, independent validation, and control testing across the full lifecycle.</w:t>
      </w:r>
    </w:p>
    <w:p w14:paraId="4BBAE465" w14:textId="77777777" w:rsidR="002F6C54" w:rsidRDefault="002F6C54">
      <w:pPr>
        <w:rPr>
          <w:kern w:val="0"/>
          <w14:ligatures w14:val="none"/>
        </w:rPr>
      </w:pPr>
      <w:r>
        <w:t>The key CCOR condition is that no adverse compliance, conduct, operational, customer, regulatory, or control action should be triggered solely by AI-generated interpretation. Material outcomes must remain subject to defined rules, evidence requirements, accountable ownership, and human review where judgment or regulatory interpretation is involved.</w:t>
      </w:r>
    </w:p>
    <w:p w14:paraId="1C02EF69" w14:textId="77777777" w:rsidR="002F6C54" w:rsidRDefault="002F6C54">
      <w:pPr>
        <w:pStyle w:val="Heading1"/>
        <w:rPr>
          <w:rFonts w:asciiTheme="minorHAnsi" w:hAnsiTheme="minorHAnsi" w:cstheme="minorBidi"/>
          <w:kern w:val="36"/>
          <w:sz w:val="48"/>
          <w:szCs w:val="48"/>
          <w14:ligatures w14:val="none"/>
        </w:rPr>
      </w:pPr>
      <w:r>
        <w:rPr>
          <w:rFonts w:asciiTheme="minorHAnsi" w:hAnsiTheme="minorHAnsi" w:cstheme="minorBidi"/>
        </w:rPr>
        <w:lastRenderedPageBreak/>
        <w:t>3. Key Strengths</w:t>
      </w:r>
    </w:p>
    <w:p w14:paraId="56315116" w14:textId="77777777" w:rsidR="002F6C54" w:rsidRPr="002F6C54" w:rsidRDefault="002F6C54" w:rsidP="002F6C54">
      <w:pPr>
        <w:pStyle w:val="ListParagraph"/>
        <w:numPr>
          <w:ilvl w:val="0"/>
          <w:numId w:val="1"/>
        </w:numPr>
        <w:rPr>
          <w:sz w:val="20"/>
          <w:szCs w:val="20"/>
        </w:rPr>
      </w:pPr>
      <w:r w:rsidRPr="002F6C54">
        <w:rPr>
          <w:b/>
          <w:bCs/>
          <w:sz w:val="20"/>
          <w:szCs w:val="20"/>
        </w:rPr>
        <w:t>Clear separation of AI and rules:</w:t>
      </w:r>
      <w:r w:rsidRPr="002F6C54">
        <w:rPr>
          <w:sz w:val="20"/>
          <w:szCs w:val="20"/>
        </w:rPr>
        <w:t xml:space="preserve"> AI proposes candidate interpretations; the enterprise taxonomy, graph, and policy rules establish relevance.</w:t>
      </w:r>
    </w:p>
    <w:p w14:paraId="3D00A15E" w14:textId="77777777" w:rsidR="002F6C54" w:rsidRDefault="002F6C54" w:rsidP="002F6C54">
      <w:pPr>
        <w:pStyle w:val="ListParagraph"/>
        <w:numPr>
          <w:ilvl w:val="0"/>
          <w:numId w:val="1"/>
        </w:numPr>
        <w:rPr>
          <w:sz w:val="20"/>
          <w:szCs w:val="20"/>
        </w:rPr>
      </w:pPr>
      <w:r>
        <w:rPr>
          <w:b/>
          <w:bCs/>
          <w:sz w:val="20"/>
          <w:szCs w:val="20"/>
        </w:rPr>
        <w:t>Evidence-based scoring:</w:t>
      </w:r>
      <w:r>
        <w:rPr>
          <w:sz w:val="20"/>
          <w:szCs w:val="20"/>
        </w:rPr>
        <w:t xml:space="preserve"> The concept reframes confidence as evidence strength, avoiding an unsupported probabilistic interpretation of AI output.</w:t>
      </w:r>
    </w:p>
    <w:p w14:paraId="5C3B6DF6" w14:textId="77777777" w:rsidR="002F6C54" w:rsidRDefault="002F6C54" w:rsidP="002F6C54">
      <w:pPr>
        <w:pStyle w:val="ListParagraph"/>
        <w:numPr>
          <w:ilvl w:val="0"/>
          <w:numId w:val="1"/>
        </w:numPr>
        <w:rPr>
          <w:sz w:val="20"/>
          <w:szCs w:val="20"/>
        </w:rPr>
      </w:pPr>
      <w:r>
        <w:rPr>
          <w:b/>
          <w:bCs/>
          <w:sz w:val="20"/>
          <w:szCs w:val="20"/>
        </w:rPr>
        <w:t>Traceable risk linkage:</w:t>
      </w:r>
      <w:r>
        <w:rPr>
          <w:sz w:val="20"/>
          <w:szCs w:val="20"/>
        </w:rPr>
        <w:t xml:space="preserve"> External events are mapped through risk, activity, control, application, legal entity, and internal evidence pathways.</w:t>
      </w:r>
    </w:p>
    <w:p w14:paraId="6EF655E6" w14:textId="77777777" w:rsidR="002F6C54" w:rsidRDefault="002F6C54" w:rsidP="002F6C54">
      <w:pPr>
        <w:pStyle w:val="ListParagraph"/>
        <w:numPr>
          <w:ilvl w:val="0"/>
          <w:numId w:val="1"/>
        </w:numPr>
        <w:rPr>
          <w:sz w:val="20"/>
          <w:szCs w:val="20"/>
        </w:rPr>
      </w:pPr>
      <w:r>
        <w:rPr>
          <w:b/>
          <w:bCs/>
          <w:sz w:val="20"/>
          <w:szCs w:val="20"/>
        </w:rPr>
        <w:t>Operational resilience relevance:</w:t>
      </w:r>
      <w:r>
        <w:rPr>
          <w:sz w:val="20"/>
          <w:szCs w:val="20"/>
        </w:rPr>
        <w:t xml:space="preserve"> The use of dependency mapping across controls, applications, legal entities, and critical services supports operational resilience objectives.</w:t>
      </w:r>
    </w:p>
    <w:p w14:paraId="7B4A4918" w14:textId="77777777" w:rsidR="002F6C54" w:rsidRDefault="002F6C54" w:rsidP="002F6C54">
      <w:pPr>
        <w:pStyle w:val="ListParagraph"/>
        <w:numPr>
          <w:ilvl w:val="0"/>
          <w:numId w:val="1"/>
        </w:numPr>
        <w:rPr>
          <w:sz w:val="20"/>
          <w:szCs w:val="20"/>
        </w:rPr>
      </w:pPr>
      <w:r>
        <w:rPr>
          <w:b/>
          <w:bCs/>
          <w:sz w:val="20"/>
          <w:szCs w:val="20"/>
        </w:rPr>
        <w:t>Human governance preserved:</w:t>
      </w:r>
      <w:r>
        <w:rPr>
          <w:sz w:val="20"/>
          <w:szCs w:val="20"/>
        </w:rPr>
        <w:t xml:space="preserve"> The architecture recognises that CCOR decisions require accountable human oversight, especially for RCSA change, issue creation, control testing, and compliance assessment.</w:t>
      </w:r>
    </w:p>
    <w:p w14:paraId="72680043" w14:textId="77777777" w:rsidR="002F6C54" w:rsidRDefault="002F6C54">
      <w:pPr>
        <w:pStyle w:val="Heading1"/>
        <w:rPr>
          <w:rFonts w:asciiTheme="minorHAnsi" w:hAnsiTheme="minorHAnsi" w:cstheme="minorBidi"/>
          <w:kern w:val="36"/>
          <w:sz w:val="48"/>
          <w:szCs w:val="48"/>
          <w14:ligatures w14:val="none"/>
        </w:rPr>
      </w:pPr>
      <w:r>
        <w:rPr>
          <w:rFonts w:asciiTheme="minorHAnsi" w:hAnsiTheme="minorHAnsi" w:cstheme="minorBidi"/>
        </w:rPr>
        <w:t>4. Principal CCOR Risks</w:t>
      </w:r>
    </w:p>
    <w:tbl>
      <w:tblPr>
        <w:tblStyle w:val="GridTable4-Accent1"/>
        <w:tblW w:w="5000" w:type="pct"/>
        <w:tblLook w:val="04A0" w:firstRow="1" w:lastRow="0" w:firstColumn="1" w:lastColumn="0" w:noHBand="0" w:noVBand="1"/>
      </w:tblPr>
      <w:tblGrid>
        <w:gridCol w:w="1963"/>
        <w:gridCol w:w="3342"/>
        <w:gridCol w:w="3711"/>
      </w:tblGrid>
      <w:tr w:rsidR="002F6C54" w14:paraId="2CB7D4E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C15D6F" w14:textId="77777777" w:rsidR="002F6C54" w:rsidRDefault="002F6C54">
            <w:pPr>
              <w:spacing w:after="160"/>
              <w:rPr>
                <w:kern w:val="0"/>
                <w14:ligatures w14:val="none"/>
              </w:rPr>
            </w:pPr>
            <w:r>
              <w:t>Risk Area</w:t>
            </w:r>
          </w:p>
        </w:tc>
        <w:tc>
          <w:tcPr>
            <w:tcW w:w="0" w:type="auto"/>
            <w:hideMark/>
          </w:tcPr>
          <w:p w14:paraId="702A22EB" w14:textId="77777777" w:rsidR="002F6C54" w:rsidRDefault="002F6C54">
            <w:pPr>
              <w:spacing w:after="160"/>
              <w:cnfStyle w:val="100000000000" w:firstRow="1" w:lastRow="0" w:firstColumn="0" w:lastColumn="0" w:oddVBand="0" w:evenVBand="0" w:oddHBand="0" w:evenHBand="0" w:firstRowFirstColumn="0" w:firstRowLastColumn="0" w:lastRowFirstColumn="0" w:lastRowLastColumn="0"/>
            </w:pPr>
            <w:r>
              <w:t>CCOR Concern</w:t>
            </w:r>
          </w:p>
        </w:tc>
        <w:tc>
          <w:tcPr>
            <w:tcW w:w="0" w:type="auto"/>
            <w:hideMark/>
          </w:tcPr>
          <w:p w14:paraId="1B8A8909" w14:textId="77777777" w:rsidR="002F6C54" w:rsidRDefault="002F6C54">
            <w:pPr>
              <w:spacing w:after="160"/>
              <w:cnfStyle w:val="100000000000" w:firstRow="1" w:lastRow="0" w:firstColumn="0" w:lastColumn="0" w:oddVBand="0" w:evenVBand="0" w:oddHBand="0" w:evenHBand="0" w:firstRowFirstColumn="0" w:firstRowLastColumn="0" w:lastRowFirstColumn="0" w:lastRowLastColumn="0"/>
            </w:pPr>
            <w:r>
              <w:t>Required Mitigation</w:t>
            </w:r>
          </w:p>
        </w:tc>
      </w:tr>
      <w:tr w:rsidR="002F6C54" w14:paraId="2D8DBA2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6F18A1" w14:textId="77777777" w:rsidR="002F6C54" w:rsidRDefault="002F6C54">
            <w:pPr>
              <w:spacing w:after="160"/>
            </w:pPr>
            <w:r>
              <w:t>Model and AI risk</w:t>
            </w:r>
          </w:p>
        </w:tc>
        <w:tc>
          <w:tcPr>
            <w:tcW w:w="0" w:type="auto"/>
            <w:hideMark/>
          </w:tcPr>
          <w:p w14:paraId="78109E3E" w14:textId="77777777" w:rsidR="002F6C54" w:rsidRDefault="002F6C54">
            <w:pPr>
              <w:spacing w:after="160"/>
              <w:cnfStyle w:val="000000100000" w:firstRow="0" w:lastRow="0" w:firstColumn="0" w:lastColumn="0" w:oddVBand="0" w:evenVBand="0" w:oddHBand="1" w:evenHBand="0" w:firstRowFirstColumn="0" w:firstRowLastColumn="0" w:lastRowFirstColumn="0" w:lastRowLastColumn="0"/>
            </w:pPr>
            <w:r>
              <w:t>AI may misclassify external events, hallucinate relationships, or overstate relevance.</w:t>
            </w:r>
          </w:p>
        </w:tc>
        <w:tc>
          <w:tcPr>
            <w:tcW w:w="0" w:type="auto"/>
            <w:hideMark/>
          </w:tcPr>
          <w:p w14:paraId="3093B4D9" w14:textId="77777777" w:rsidR="002F6C54" w:rsidRDefault="002F6C54">
            <w:pPr>
              <w:spacing w:after="160"/>
              <w:cnfStyle w:val="000000100000" w:firstRow="0" w:lastRow="0" w:firstColumn="0" w:lastColumn="0" w:oddVBand="0" w:evenVBand="0" w:oddHBand="1" w:evenHBand="0" w:firstRowFirstColumn="0" w:firstRowLastColumn="0" w:lastRowFirstColumn="0" w:lastRowLastColumn="0"/>
            </w:pPr>
            <w:r>
              <w:t>Restrict AI to extraction and candidate mapping; implement validation, monitoring, prompt controls, output review, and documented limitations.</w:t>
            </w:r>
          </w:p>
        </w:tc>
      </w:tr>
      <w:tr w:rsidR="002F6C54" w14:paraId="3243890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12A60E7" w14:textId="77777777" w:rsidR="002F6C54" w:rsidRDefault="002F6C54">
            <w:pPr>
              <w:spacing w:after="160"/>
            </w:pPr>
            <w:r>
              <w:t>Taxonomy and ontology governance</w:t>
            </w:r>
          </w:p>
        </w:tc>
        <w:tc>
          <w:tcPr>
            <w:tcW w:w="0" w:type="auto"/>
            <w:hideMark/>
          </w:tcPr>
          <w:p w14:paraId="41D43A63" w14:textId="77777777" w:rsidR="002F6C54" w:rsidRDefault="002F6C54">
            <w:pPr>
              <w:spacing w:after="160"/>
              <w:cnfStyle w:val="000000000000" w:firstRow="0" w:lastRow="0" w:firstColumn="0" w:lastColumn="0" w:oddVBand="0" w:evenVBand="0" w:oddHBand="0" w:evenHBand="0" w:firstRowFirstColumn="0" w:firstRowLastColumn="0" w:lastRowFirstColumn="0" w:lastRowLastColumn="0"/>
            </w:pPr>
            <w:r>
              <w:t>Incorrect or stale taxonomies could drive incorrect risk routing.</w:t>
            </w:r>
          </w:p>
        </w:tc>
        <w:tc>
          <w:tcPr>
            <w:tcW w:w="0" w:type="auto"/>
            <w:hideMark/>
          </w:tcPr>
          <w:p w14:paraId="05D0B1D9" w14:textId="77777777" w:rsidR="002F6C54" w:rsidRDefault="002F6C54">
            <w:pPr>
              <w:spacing w:after="160"/>
              <w:cnfStyle w:val="000000000000" w:firstRow="0" w:lastRow="0" w:firstColumn="0" w:lastColumn="0" w:oddVBand="0" w:evenVBand="0" w:oddHBand="0" w:evenHBand="0" w:firstRowFirstColumn="0" w:firstRowLastColumn="0" w:lastRowFirstColumn="0" w:lastRowLastColumn="0"/>
            </w:pPr>
            <w:r>
              <w:t>Assign taxonomy owners, version changes, approve mappings, and maintain change logs.</w:t>
            </w:r>
          </w:p>
        </w:tc>
      </w:tr>
      <w:tr w:rsidR="002F6C54" w14:paraId="58E0FDA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EDB2E7" w14:textId="77777777" w:rsidR="002F6C54" w:rsidRDefault="002F6C54">
            <w:pPr>
              <w:spacing w:after="160"/>
            </w:pPr>
            <w:r>
              <w:t>Evidence scoring</w:t>
            </w:r>
          </w:p>
        </w:tc>
        <w:tc>
          <w:tcPr>
            <w:tcW w:w="0" w:type="auto"/>
            <w:hideMark/>
          </w:tcPr>
          <w:p w14:paraId="30F53970" w14:textId="77777777" w:rsidR="002F6C54" w:rsidRDefault="002F6C54">
            <w:pPr>
              <w:spacing w:after="160"/>
              <w:cnfStyle w:val="000000100000" w:firstRow="0" w:lastRow="0" w:firstColumn="0" w:lastColumn="0" w:oddVBand="0" w:evenVBand="0" w:oddHBand="1" w:evenHBand="0" w:firstRowFirstColumn="0" w:firstRowLastColumn="0" w:lastRowFirstColumn="0" w:lastRowLastColumn="0"/>
            </w:pPr>
            <w:r>
              <w:t>Scores may create false precision if weights and thresholds are not approved and tested.</w:t>
            </w:r>
          </w:p>
        </w:tc>
        <w:tc>
          <w:tcPr>
            <w:tcW w:w="0" w:type="auto"/>
            <w:hideMark/>
          </w:tcPr>
          <w:p w14:paraId="4AA93848" w14:textId="77777777" w:rsidR="002F6C54" w:rsidRDefault="002F6C54">
            <w:pPr>
              <w:spacing w:after="160"/>
              <w:cnfStyle w:val="000000100000" w:firstRow="0" w:lastRow="0" w:firstColumn="0" w:lastColumn="0" w:oddVBand="0" w:evenVBand="0" w:oddHBand="1" w:evenHBand="0" w:firstRowFirstColumn="0" w:firstRowLastColumn="0" w:lastRowFirstColumn="0" w:lastRowLastColumn="0"/>
            </w:pPr>
            <w:r>
              <w:t>Approve scoring methodology through governance, calibrate thresholds, and document rationale.</w:t>
            </w:r>
          </w:p>
        </w:tc>
      </w:tr>
      <w:tr w:rsidR="002F6C54" w14:paraId="2E98250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A6F7477" w14:textId="77777777" w:rsidR="002F6C54" w:rsidRDefault="002F6C54">
            <w:pPr>
              <w:spacing w:after="160"/>
            </w:pPr>
            <w:r>
              <w:t>Conduct and customer impact</w:t>
            </w:r>
          </w:p>
        </w:tc>
        <w:tc>
          <w:tcPr>
            <w:tcW w:w="0" w:type="auto"/>
            <w:hideMark/>
          </w:tcPr>
          <w:p w14:paraId="30D3C4AF" w14:textId="77777777" w:rsidR="002F6C54" w:rsidRDefault="002F6C54">
            <w:pPr>
              <w:spacing w:after="160"/>
              <w:cnfStyle w:val="000000000000" w:firstRow="0" w:lastRow="0" w:firstColumn="0" w:lastColumn="0" w:oddVBand="0" w:evenVBand="0" w:oddHBand="0" w:evenHBand="0" w:firstRowFirstColumn="0" w:firstRowLastColumn="0" w:lastRowFirstColumn="0" w:lastRowLastColumn="0"/>
            </w:pPr>
            <w:r>
              <w:t>External intelligence may lead to overreaction, inconsistent customer treatment, or unsupported control actions.</w:t>
            </w:r>
          </w:p>
        </w:tc>
        <w:tc>
          <w:tcPr>
            <w:tcW w:w="0" w:type="auto"/>
            <w:hideMark/>
          </w:tcPr>
          <w:p w14:paraId="472D440B" w14:textId="77777777" w:rsidR="002F6C54" w:rsidRDefault="002F6C54">
            <w:pPr>
              <w:spacing w:after="160"/>
              <w:cnfStyle w:val="000000000000" w:firstRow="0" w:lastRow="0" w:firstColumn="0" w:lastColumn="0" w:oddVBand="0" w:evenVBand="0" w:oddHBand="0" w:evenHBand="0" w:firstRowFirstColumn="0" w:firstRowLastColumn="0" w:lastRowFirstColumn="0" w:lastRowLastColumn="0"/>
            </w:pPr>
            <w:r>
              <w:t>Require human review for material conduct, customer, regulatory, and issue-management outcomes.</w:t>
            </w:r>
          </w:p>
        </w:tc>
      </w:tr>
      <w:tr w:rsidR="002F6C54" w14:paraId="3CCB275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D04406" w14:textId="77777777" w:rsidR="002F6C54" w:rsidRDefault="002F6C54">
            <w:pPr>
              <w:spacing w:after="160"/>
            </w:pPr>
            <w:r>
              <w:t>Operational dependency mapping</w:t>
            </w:r>
          </w:p>
        </w:tc>
        <w:tc>
          <w:tcPr>
            <w:tcW w:w="0" w:type="auto"/>
            <w:hideMark/>
          </w:tcPr>
          <w:p w14:paraId="59CE578B" w14:textId="77777777" w:rsidR="002F6C54" w:rsidRDefault="002F6C54">
            <w:pPr>
              <w:spacing w:after="160"/>
              <w:cnfStyle w:val="000000100000" w:firstRow="0" w:lastRow="0" w:firstColumn="0" w:lastColumn="0" w:oddVBand="0" w:evenVBand="0" w:oddHBand="1" w:evenHBand="0" w:firstRowFirstColumn="0" w:firstRowLastColumn="0" w:lastRowFirstColumn="0" w:lastRowLastColumn="0"/>
            </w:pPr>
            <w:r>
              <w:t>Incomplete mapping across services, applications, vendors, and legal entities may produce misleading exposure views.</w:t>
            </w:r>
          </w:p>
        </w:tc>
        <w:tc>
          <w:tcPr>
            <w:tcW w:w="0" w:type="auto"/>
            <w:hideMark/>
          </w:tcPr>
          <w:p w14:paraId="5C0166A1" w14:textId="77777777" w:rsidR="002F6C54" w:rsidRDefault="002F6C54">
            <w:pPr>
              <w:spacing w:after="160"/>
              <w:cnfStyle w:val="000000100000" w:firstRow="0" w:lastRow="0" w:firstColumn="0" w:lastColumn="0" w:oddVBand="0" w:evenVBand="0" w:oddHBand="1" w:evenHBand="0" w:firstRowFirstColumn="0" w:firstRowLastColumn="0" w:lastRowFirstColumn="0" w:lastRowLastColumn="0"/>
            </w:pPr>
            <w:r>
              <w:t>Integrate with authoritative inventories and reconcile against CMDB, RCSA, control library, and service maps.</w:t>
            </w:r>
          </w:p>
        </w:tc>
      </w:tr>
    </w:tbl>
    <w:p w14:paraId="0B8FF7DB" w14:textId="5A88CCB1" w:rsidR="002F6C54" w:rsidRDefault="00F52377">
      <w:pPr>
        <w:rPr>
          <w:kern w:val="0"/>
          <w14:ligatures w14:val="none"/>
        </w:rPr>
      </w:pPr>
      <w:r>
        <w:rPr>
          <w:kern w:val="0"/>
          <w14:ligatures w14:val="none"/>
        </w:rPr>
        <w:tab/>
      </w:r>
    </w:p>
    <w:p w14:paraId="68F1D283" w14:textId="77777777" w:rsidR="002F6C54" w:rsidRDefault="002F6C54">
      <w:pPr>
        <w:pStyle w:val="Heading1"/>
        <w:rPr>
          <w:rFonts w:cstheme="minorBidi"/>
          <w:kern w:val="36"/>
          <w14:ligatures w14:val="none"/>
        </w:rPr>
      </w:pPr>
      <w:r>
        <w:rPr>
          <w:rFonts w:cstheme="minorBidi"/>
        </w:rPr>
        <w:lastRenderedPageBreak/>
        <w:t>5. Required Governance Model</w:t>
      </w:r>
    </w:p>
    <w:p w14:paraId="6AAAE2B6" w14:textId="77777777" w:rsidR="002F6C54" w:rsidRDefault="002F6C54">
      <w:pPr>
        <w:rPr>
          <w:kern w:val="0"/>
          <w14:ligatures w14:val="none"/>
        </w:rPr>
      </w:pPr>
      <w:r>
        <w:t>The solution should be governed under a combined AI governance, model risk, operational risk, compliance risk, technology risk, and data governance framework. Ownership should be explicit across business process owners, CCOR, technology, data management, model risk management, legal, and internal audit. Governance should cover intake, design approval, data lineage, model assessment, taxonomy change control, control library ownership, threshold approval, exception handling, production deployment, monitoring, and periodic review.</w:t>
      </w:r>
    </w:p>
    <w:p w14:paraId="1EE45DC5" w14:textId="77777777" w:rsidR="002F6C54" w:rsidRDefault="002F6C54">
      <w:pPr>
        <w:rPr>
          <w:kern w:val="0"/>
          <w14:ligatures w14:val="none"/>
        </w:rPr>
      </w:pPr>
      <w:r>
        <w:t>The minimum governance artefacts should include: use-case inventory entry, risk tiering assessment, model or AI system classification, data lineage record, taxonomy mapping register, scoring methodology document, threshold approval record, evidence pack design, human review standard, monitoring plan, issue-management criteria, and audit trail requirements.</w:t>
      </w:r>
    </w:p>
    <w:p w14:paraId="47EFC878" w14:textId="77777777" w:rsidR="002F6C54" w:rsidRDefault="002F6C54">
      <w:pPr>
        <w:pStyle w:val="Heading1"/>
        <w:rPr>
          <w:rFonts w:cstheme="minorBidi"/>
          <w:kern w:val="36"/>
          <w14:ligatures w14:val="none"/>
        </w:rPr>
      </w:pPr>
      <w:r>
        <w:rPr>
          <w:rFonts w:cstheme="minorBidi"/>
        </w:rPr>
        <w:t>6. Recommended Operating Model</w:t>
      </w:r>
    </w:p>
    <w:p w14:paraId="2038CF31" w14:textId="77777777" w:rsidR="002F6C54" w:rsidRPr="002F6C54" w:rsidRDefault="002F6C54" w:rsidP="002F6C54">
      <w:pPr>
        <w:pStyle w:val="ListParagraph"/>
        <w:numPr>
          <w:ilvl w:val="0"/>
          <w:numId w:val="2"/>
        </w:numPr>
        <w:rPr>
          <w:sz w:val="20"/>
          <w:szCs w:val="20"/>
        </w:rPr>
      </w:pPr>
      <w:r w:rsidRPr="002F6C54">
        <w:rPr>
          <w:b/>
          <w:bCs/>
          <w:sz w:val="20"/>
          <w:szCs w:val="20"/>
        </w:rPr>
        <w:t>External intelligence capture:</w:t>
      </w:r>
      <w:r w:rsidRPr="002F6C54">
        <w:rPr>
          <w:sz w:val="20"/>
          <w:szCs w:val="20"/>
        </w:rPr>
        <w:t xml:space="preserve"> Approved sources are ingested with source attribution, timestamping, and duplicate detection.</w:t>
      </w:r>
    </w:p>
    <w:p w14:paraId="3E71567B" w14:textId="77777777" w:rsidR="002F6C54" w:rsidRDefault="002F6C54" w:rsidP="002F6C54">
      <w:pPr>
        <w:pStyle w:val="ListParagraph"/>
        <w:numPr>
          <w:ilvl w:val="0"/>
          <w:numId w:val="2"/>
        </w:numPr>
        <w:rPr>
          <w:sz w:val="20"/>
          <w:szCs w:val="20"/>
        </w:rPr>
      </w:pPr>
      <w:r>
        <w:rPr>
          <w:b/>
          <w:bCs/>
          <w:sz w:val="20"/>
          <w:szCs w:val="20"/>
        </w:rPr>
        <w:t>AI-assisted extraction:</w:t>
      </w:r>
      <w:r>
        <w:rPr>
          <w:sz w:val="20"/>
          <w:szCs w:val="20"/>
        </w:rPr>
        <w:t xml:space="preserve"> NLP or AI extracts entities, events, locations, affected parties, products, activities, and candidate risk concepts.</w:t>
      </w:r>
    </w:p>
    <w:p w14:paraId="1D0F71B2" w14:textId="77777777" w:rsidR="002F6C54" w:rsidRDefault="002F6C54" w:rsidP="002F6C54">
      <w:pPr>
        <w:pStyle w:val="ListParagraph"/>
        <w:numPr>
          <w:ilvl w:val="0"/>
          <w:numId w:val="2"/>
        </w:numPr>
        <w:rPr>
          <w:sz w:val="20"/>
          <w:szCs w:val="20"/>
        </w:rPr>
      </w:pPr>
      <w:r>
        <w:rPr>
          <w:b/>
          <w:bCs/>
          <w:sz w:val="20"/>
          <w:szCs w:val="20"/>
        </w:rPr>
        <w:t>Deterministic taxonomy resolution:</w:t>
      </w:r>
      <w:r>
        <w:rPr>
          <w:sz w:val="20"/>
          <w:szCs w:val="20"/>
        </w:rPr>
        <w:t xml:space="preserve"> Extracted concepts are mapped to approved taxonomy nodes using controlled dictionaries, synonyms, and rule sets.</w:t>
      </w:r>
    </w:p>
    <w:p w14:paraId="7489784D" w14:textId="77777777" w:rsidR="002F6C54" w:rsidRDefault="002F6C54" w:rsidP="002F6C54">
      <w:pPr>
        <w:pStyle w:val="ListParagraph"/>
        <w:numPr>
          <w:ilvl w:val="0"/>
          <w:numId w:val="2"/>
        </w:numPr>
        <w:rPr>
          <w:sz w:val="20"/>
          <w:szCs w:val="20"/>
        </w:rPr>
      </w:pPr>
      <w:r>
        <w:rPr>
          <w:b/>
          <w:bCs/>
          <w:sz w:val="20"/>
          <w:szCs w:val="20"/>
        </w:rPr>
        <w:t>Knowledge graph traversal:</w:t>
      </w:r>
      <w:r>
        <w:rPr>
          <w:sz w:val="20"/>
          <w:szCs w:val="20"/>
        </w:rPr>
        <w:t xml:space="preserve"> Mapped events are linked to risk, control, service, application, vendor, legal entity, geography, and RCSA records.</w:t>
      </w:r>
    </w:p>
    <w:p w14:paraId="58D91C7B" w14:textId="77777777" w:rsidR="002F6C54" w:rsidRDefault="002F6C54" w:rsidP="002F6C54">
      <w:pPr>
        <w:pStyle w:val="ListParagraph"/>
        <w:numPr>
          <w:ilvl w:val="0"/>
          <w:numId w:val="2"/>
        </w:numPr>
        <w:rPr>
          <w:sz w:val="20"/>
          <w:szCs w:val="20"/>
        </w:rPr>
      </w:pPr>
      <w:r>
        <w:rPr>
          <w:b/>
          <w:bCs/>
          <w:sz w:val="20"/>
          <w:szCs w:val="20"/>
        </w:rPr>
        <w:t>Evidence scoring:</w:t>
      </w:r>
      <w:r>
        <w:rPr>
          <w:sz w:val="20"/>
          <w:szCs w:val="20"/>
        </w:rPr>
        <w:t xml:space="preserve"> Mapping strength, exposure strength, and control vulnerability are calculated using approved weights.</w:t>
      </w:r>
    </w:p>
    <w:p w14:paraId="1C2673ED" w14:textId="77777777" w:rsidR="002F6C54" w:rsidRDefault="002F6C54" w:rsidP="002F6C54">
      <w:pPr>
        <w:pStyle w:val="ListParagraph"/>
        <w:numPr>
          <w:ilvl w:val="0"/>
          <w:numId w:val="2"/>
        </w:numPr>
        <w:rPr>
          <w:sz w:val="20"/>
          <w:szCs w:val="20"/>
        </w:rPr>
      </w:pPr>
      <w:r>
        <w:rPr>
          <w:b/>
          <w:bCs/>
          <w:sz w:val="20"/>
          <w:szCs w:val="20"/>
        </w:rPr>
        <w:t>Policy-driven routing:</w:t>
      </w:r>
      <w:r>
        <w:rPr>
          <w:sz w:val="20"/>
          <w:szCs w:val="20"/>
        </w:rPr>
        <w:t xml:space="preserve"> Thresholds determine whether the signal is ignored, monitored, reviewed in RCSA, routed for control testing, escalated for compliance assessment, or considered for issue management.</w:t>
      </w:r>
    </w:p>
    <w:p w14:paraId="0A3A0B64" w14:textId="77777777" w:rsidR="002F6C54" w:rsidRDefault="002F6C54" w:rsidP="002F6C54">
      <w:pPr>
        <w:pStyle w:val="ListParagraph"/>
        <w:numPr>
          <w:ilvl w:val="0"/>
          <w:numId w:val="2"/>
        </w:numPr>
        <w:rPr>
          <w:sz w:val="20"/>
          <w:szCs w:val="20"/>
        </w:rPr>
      </w:pPr>
      <w:r>
        <w:rPr>
          <w:b/>
          <w:bCs/>
          <w:sz w:val="20"/>
          <w:szCs w:val="20"/>
        </w:rPr>
        <w:t>Human review and action:</w:t>
      </w:r>
      <w:r>
        <w:rPr>
          <w:sz w:val="20"/>
          <w:szCs w:val="20"/>
        </w:rPr>
        <w:t xml:space="preserve"> CCOR owners review material signals and document final decisions, rationale, and follow-up actions.</w:t>
      </w:r>
    </w:p>
    <w:p w14:paraId="512D424E" w14:textId="77777777" w:rsidR="002F6C54" w:rsidRDefault="002F6C54">
      <w:pPr>
        <w:pStyle w:val="Heading1"/>
        <w:rPr>
          <w:rFonts w:cstheme="minorBidi"/>
          <w:kern w:val="36"/>
          <w14:ligatures w14:val="none"/>
        </w:rPr>
      </w:pPr>
      <w:r>
        <w:rPr>
          <w:rFonts w:cstheme="minorBidi"/>
        </w:rPr>
        <w:t>7. CCOR View on Scoring</w:t>
      </w:r>
    </w:p>
    <w:p w14:paraId="4917F122" w14:textId="77777777" w:rsidR="002F6C54" w:rsidRDefault="002F6C54">
      <w:pPr>
        <w:rPr>
          <w:kern w:val="0"/>
          <w14:ligatures w14:val="none"/>
        </w:rPr>
      </w:pPr>
      <w:r>
        <w:t>I support replacing the term AI confidence with evidence strength. A single confidence score should not be used to imply probability, certainty, or regulatory conclusion. The scoring approach should be decomposed into at least three scores: mapping confidence, exposure strength, and control vulnerability. These scores should be calculated from approved evidence dimensions and should be explainable down to source, mapping, rule, and weight.</w:t>
      </w:r>
    </w:p>
    <w:p w14:paraId="3E794A83" w14:textId="77777777" w:rsidR="002F6C54" w:rsidRDefault="002F6C54">
      <w:pPr>
        <w:rPr>
          <w:kern w:val="0"/>
          <w14:ligatures w14:val="none"/>
        </w:rPr>
      </w:pPr>
      <w:r>
        <w:lastRenderedPageBreak/>
        <w:t>The score design should be calibrated against historical incidents, known external events, past control failures, RCSA updates, and control-testing outcomes. Thresholds should be approved by governance forums and periodically reviewed for false positives, false negatives, concentration effects, and unintended operational burden.</w:t>
      </w:r>
    </w:p>
    <w:p w14:paraId="26A81D1D" w14:textId="77777777" w:rsidR="002F6C54" w:rsidRDefault="002F6C54">
      <w:pPr>
        <w:pStyle w:val="Heading1"/>
        <w:rPr>
          <w:rFonts w:cstheme="minorBidi"/>
          <w:kern w:val="36"/>
          <w14:ligatures w14:val="none"/>
        </w:rPr>
      </w:pPr>
      <w:r>
        <w:rPr>
          <w:rFonts w:cstheme="minorBidi"/>
        </w:rPr>
        <w:t>8. Controls Required Before Production</w:t>
      </w:r>
    </w:p>
    <w:p w14:paraId="56E2F2A1" w14:textId="77777777" w:rsidR="002F6C54" w:rsidRPr="002F6C54" w:rsidRDefault="002F6C54" w:rsidP="002F6C54">
      <w:pPr>
        <w:pStyle w:val="ListParagraph"/>
        <w:numPr>
          <w:ilvl w:val="0"/>
          <w:numId w:val="3"/>
        </w:numPr>
        <w:rPr>
          <w:sz w:val="20"/>
          <w:szCs w:val="20"/>
        </w:rPr>
      </w:pPr>
      <w:r w:rsidRPr="002F6C54">
        <w:rPr>
          <w:sz w:val="20"/>
          <w:szCs w:val="20"/>
        </w:rPr>
        <w:t>Approved list of external sources and prohibited sources.</w:t>
      </w:r>
    </w:p>
    <w:p w14:paraId="5B82E021" w14:textId="77777777" w:rsidR="002F6C54" w:rsidRDefault="002F6C54" w:rsidP="002F6C54">
      <w:pPr>
        <w:pStyle w:val="ListParagraph"/>
        <w:numPr>
          <w:ilvl w:val="0"/>
          <w:numId w:val="3"/>
        </w:numPr>
        <w:rPr>
          <w:sz w:val="20"/>
          <w:szCs w:val="20"/>
        </w:rPr>
      </w:pPr>
      <w:r>
        <w:rPr>
          <w:sz w:val="20"/>
          <w:szCs w:val="20"/>
        </w:rPr>
        <w:t>Source reliability scoring and evidence retention.</w:t>
      </w:r>
    </w:p>
    <w:p w14:paraId="46DD436E" w14:textId="77777777" w:rsidR="002F6C54" w:rsidRDefault="002F6C54" w:rsidP="002F6C54">
      <w:pPr>
        <w:pStyle w:val="ListParagraph"/>
        <w:numPr>
          <w:ilvl w:val="0"/>
          <w:numId w:val="3"/>
        </w:numPr>
        <w:rPr>
          <w:sz w:val="20"/>
          <w:szCs w:val="20"/>
        </w:rPr>
      </w:pPr>
      <w:r>
        <w:rPr>
          <w:sz w:val="20"/>
          <w:szCs w:val="20"/>
        </w:rPr>
        <w:t>Data lineage from external article to extracted event to mapped taxonomy node.</w:t>
      </w:r>
    </w:p>
    <w:p w14:paraId="3170ACF3" w14:textId="77777777" w:rsidR="002F6C54" w:rsidRDefault="002F6C54" w:rsidP="002F6C54">
      <w:pPr>
        <w:pStyle w:val="ListParagraph"/>
        <w:numPr>
          <w:ilvl w:val="0"/>
          <w:numId w:val="3"/>
        </w:numPr>
        <w:rPr>
          <w:sz w:val="20"/>
          <w:szCs w:val="20"/>
        </w:rPr>
      </w:pPr>
      <w:r>
        <w:rPr>
          <w:sz w:val="20"/>
          <w:szCs w:val="20"/>
        </w:rPr>
        <w:t>Prompt, model, and configuration version control.</w:t>
      </w:r>
    </w:p>
    <w:p w14:paraId="4AA7C5E3" w14:textId="77777777" w:rsidR="002F6C54" w:rsidRDefault="002F6C54" w:rsidP="002F6C54">
      <w:pPr>
        <w:pStyle w:val="ListParagraph"/>
        <w:numPr>
          <w:ilvl w:val="0"/>
          <w:numId w:val="3"/>
        </w:numPr>
        <w:rPr>
          <w:sz w:val="20"/>
          <w:szCs w:val="20"/>
        </w:rPr>
      </w:pPr>
      <w:r>
        <w:rPr>
          <w:sz w:val="20"/>
          <w:szCs w:val="20"/>
        </w:rPr>
        <w:t>Human review workflow for high materiality signals.</w:t>
      </w:r>
    </w:p>
    <w:p w14:paraId="215F669D" w14:textId="77777777" w:rsidR="002F6C54" w:rsidRDefault="002F6C54" w:rsidP="002F6C54">
      <w:pPr>
        <w:pStyle w:val="ListParagraph"/>
        <w:numPr>
          <w:ilvl w:val="0"/>
          <w:numId w:val="3"/>
        </w:numPr>
        <w:rPr>
          <w:sz w:val="20"/>
          <w:szCs w:val="20"/>
        </w:rPr>
      </w:pPr>
      <w:r>
        <w:rPr>
          <w:sz w:val="20"/>
          <w:szCs w:val="20"/>
        </w:rPr>
        <w:t>Rules inventory with owner, rationale, effective date, and change history.</w:t>
      </w:r>
    </w:p>
    <w:p w14:paraId="63F06402" w14:textId="77777777" w:rsidR="002F6C54" w:rsidRDefault="002F6C54" w:rsidP="002F6C54">
      <w:pPr>
        <w:pStyle w:val="ListParagraph"/>
        <w:numPr>
          <w:ilvl w:val="0"/>
          <w:numId w:val="3"/>
        </w:numPr>
        <w:rPr>
          <w:sz w:val="20"/>
          <w:szCs w:val="20"/>
        </w:rPr>
      </w:pPr>
      <w:r>
        <w:rPr>
          <w:sz w:val="20"/>
          <w:szCs w:val="20"/>
        </w:rPr>
        <w:t>Exception process for ambiguous, conflicting, or low-evidence outputs.</w:t>
      </w:r>
    </w:p>
    <w:p w14:paraId="18398BCD" w14:textId="77777777" w:rsidR="002F6C54" w:rsidRDefault="002F6C54" w:rsidP="002F6C54">
      <w:pPr>
        <w:pStyle w:val="ListParagraph"/>
        <w:numPr>
          <w:ilvl w:val="0"/>
          <w:numId w:val="3"/>
        </w:numPr>
        <w:rPr>
          <w:sz w:val="20"/>
          <w:szCs w:val="20"/>
        </w:rPr>
      </w:pPr>
      <w:r>
        <w:rPr>
          <w:sz w:val="20"/>
          <w:szCs w:val="20"/>
        </w:rPr>
        <w:t>False positive and false negative monitoring.</w:t>
      </w:r>
    </w:p>
    <w:p w14:paraId="72B5009A" w14:textId="77777777" w:rsidR="002F6C54" w:rsidRDefault="002F6C54" w:rsidP="002F6C54">
      <w:pPr>
        <w:pStyle w:val="ListParagraph"/>
        <w:numPr>
          <w:ilvl w:val="0"/>
          <w:numId w:val="3"/>
        </w:numPr>
        <w:rPr>
          <w:sz w:val="20"/>
          <w:szCs w:val="20"/>
        </w:rPr>
      </w:pPr>
      <w:r>
        <w:rPr>
          <w:sz w:val="20"/>
          <w:szCs w:val="20"/>
        </w:rPr>
        <w:t>Periodic independent validation of extraction, mapping, scoring, and routing logic.</w:t>
      </w:r>
    </w:p>
    <w:p w14:paraId="24E4F893" w14:textId="77777777" w:rsidR="002F6C54" w:rsidRDefault="002F6C54" w:rsidP="002F6C54">
      <w:pPr>
        <w:pStyle w:val="ListParagraph"/>
        <w:numPr>
          <w:ilvl w:val="0"/>
          <w:numId w:val="3"/>
        </w:numPr>
        <w:rPr>
          <w:sz w:val="20"/>
          <w:szCs w:val="20"/>
        </w:rPr>
      </w:pPr>
      <w:r>
        <w:rPr>
          <w:sz w:val="20"/>
          <w:szCs w:val="20"/>
        </w:rPr>
        <w:t>Audit-ready evidence pack for each material CCOR signal.</w:t>
      </w:r>
    </w:p>
    <w:p w14:paraId="42C47EAA" w14:textId="77777777" w:rsidR="002F6C54" w:rsidRDefault="002F6C54">
      <w:pPr>
        <w:pStyle w:val="Heading1"/>
        <w:rPr>
          <w:rFonts w:cstheme="minorBidi"/>
          <w:kern w:val="36"/>
          <w14:ligatures w14:val="none"/>
        </w:rPr>
      </w:pPr>
      <w:r>
        <w:rPr>
          <w:rFonts w:cstheme="minorBidi"/>
        </w:rPr>
        <w:t>9. Implementation Roadmap</w:t>
      </w:r>
    </w:p>
    <w:tbl>
      <w:tblPr>
        <w:tblStyle w:val="GridTable4-Accent1"/>
        <w:tblW w:w="5000" w:type="pct"/>
        <w:tblLook w:val="04A0" w:firstRow="1" w:lastRow="0" w:firstColumn="1" w:lastColumn="0" w:noHBand="0" w:noVBand="1"/>
      </w:tblPr>
      <w:tblGrid>
        <w:gridCol w:w="1917"/>
        <w:gridCol w:w="3610"/>
        <w:gridCol w:w="3489"/>
      </w:tblGrid>
      <w:tr w:rsidR="001F5FBE" w14:paraId="50539C9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AFFFF4" w14:textId="77777777" w:rsidR="001F5FBE" w:rsidRDefault="001F5FBE">
            <w:pPr>
              <w:spacing w:after="160"/>
              <w:rPr>
                <w:kern w:val="0"/>
                <w14:ligatures w14:val="none"/>
              </w:rPr>
            </w:pPr>
            <w:r>
              <w:t>Phase</w:t>
            </w:r>
          </w:p>
        </w:tc>
        <w:tc>
          <w:tcPr>
            <w:tcW w:w="0" w:type="auto"/>
            <w:hideMark/>
          </w:tcPr>
          <w:p w14:paraId="0CFAF6C8" w14:textId="77777777" w:rsidR="001F5FBE" w:rsidRDefault="001F5FBE">
            <w:pPr>
              <w:spacing w:after="160"/>
              <w:cnfStyle w:val="100000000000" w:firstRow="1" w:lastRow="0" w:firstColumn="0" w:lastColumn="0" w:oddVBand="0" w:evenVBand="0" w:oddHBand="0" w:evenHBand="0" w:firstRowFirstColumn="0" w:firstRowLastColumn="0" w:lastRowFirstColumn="0" w:lastRowLastColumn="0"/>
            </w:pPr>
            <w:r>
              <w:t>Objective</w:t>
            </w:r>
          </w:p>
        </w:tc>
        <w:tc>
          <w:tcPr>
            <w:tcW w:w="0" w:type="auto"/>
            <w:hideMark/>
          </w:tcPr>
          <w:p w14:paraId="12DA008B" w14:textId="77777777" w:rsidR="001F5FBE" w:rsidRDefault="001F5FBE">
            <w:pPr>
              <w:spacing w:after="160"/>
              <w:cnfStyle w:val="100000000000" w:firstRow="1" w:lastRow="0" w:firstColumn="0" w:lastColumn="0" w:oddVBand="0" w:evenVBand="0" w:oddHBand="0" w:evenHBand="0" w:firstRowFirstColumn="0" w:firstRowLastColumn="0" w:lastRowFirstColumn="0" w:lastRowLastColumn="0"/>
            </w:pPr>
            <w:r>
              <w:t>CCOR Exit Criteria</w:t>
            </w:r>
          </w:p>
        </w:tc>
      </w:tr>
      <w:tr w:rsidR="001F5FBE" w14:paraId="42A2DA7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AAA991" w14:textId="77777777" w:rsidR="001F5FBE" w:rsidRDefault="001F5FBE">
            <w:pPr>
              <w:spacing w:after="160"/>
            </w:pPr>
            <w:r>
              <w:t>Phase 1: Design validation</w:t>
            </w:r>
          </w:p>
        </w:tc>
        <w:tc>
          <w:tcPr>
            <w:tcW w:w="0" w:type="auto"/>
            <w:hideMark/>
          </w:tcPr>
          <w:p w14:paraId="5837E44F" w14:textId="77777777" w:rsidR="001F5FBE" w:rsidRDefault="001F5FBE">
            <w:pPr>
              <w:spacing w:after="160"/>
              <w:cnfStyle w:val="000000100000" w:firstRow="0" w:lastRow="0" w:firstColumn="0" w:lastColumn="0" w:oddVBand="0" w:evenVBand="0" w:oddHBand="1" w:evenHBand="0" w:firstRowFirstColumn="0" w:firstRowLastColumn="0" w:lastRowFirstColumn="0" w:lastRowLastColumn="0"/>
            </w:pPr>
            <w:r>
              <w:t>Confirm use case, governance scope, data sources, taxonomy ownership, and risk tier.</w:t>
            </w:r>
          </w:p>
        </w:tc>
        <w:tc>
          <w:tcPr>
            <w:tcW w:w="0" w:type="auto"/>
            <w:hideMark/>
          </w:tcPr>
          <w:p w14:paraId="733E9339" w14:textId="77777777" w:rsidR="001F5FBE" w:rsidRDefault="001F5FBE">
            <w:pPr>
              <w:spacing w:after="160"/>
              <w:cnfStyle w:val="000000100000" w:firstRow="0" w:lastRow="0" w:firstColumn="0" w:lastColumn="0" w:oddVBand="0" w:evenVBand="0" w:oddHBand="1" w:evenHBand="0" w:firstRowFirstColumn="0" w:firstRowLastColumn="0" w:lastRowFirstColumn="0" w:lastRowLastColumn="0"/>
            </w:pPr>
            <w:r>
              <w:t>Approved design, documented controls, and named accountable owners.</w:t>
            </w:r>
          </w:p>
        </w:tc>
      </w:tr>
      <w:tr w:rsidR="001F5FBE" w14:paraId="05A93A6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CA391CB" w14:textId="77777777" w:rsidR="001F5FBE" w:rsidRDefault="001F5FBE">
            <w:pPr>
              <w:spacing w:after="160"/>
            </w:pPr>
            <w:r>
              <w:t>Phase 2: Controlled pilot</w:t>
            </w:r>
          </w:p>
        </w:tc>
        <w:tc>
          <w:tcPr>
            <w:tcW w:w="0" w:type="auto"/>
            <w:hideMark/>
          </w:tcPr>
          <w:p w14:paraId="2A1D0A0A" w14:textId="77777777" w:rsidR="001F5FBE" w:rsidRDefault="001F5FBE">
            <w:pPr>
              <w:spacing w:after="160"/>
              <w:cnfStyle w:val="000000000000" w:firstRow="0" w:lastRow="0" w:firstColumn="0" w:lastColumn="0" w:oddVBand="0" w:evenVBand="0" w:oddHBand="0" w:evenHBand="0" w:firstRowFirstColumn="0" w:firstRowLastColumn="0" w:lastRowFirstColumn="0" w:lastRowLastColumn="0"/>
            </w:pPr>
            <w:r>
              <w:t>Run retrospective testing against known external events and internal outcomes.</w:t>
            </w:r>
          </w:p>
        </w:tc>
        <w:tc>
          <w:tcPr>
            <w:tcW w:w="0" w:type="auto"/>
            <w:hideMark/>
          </w:tcPr>
          <w:p w14:paraId="3716EDB0" w14:textId="77777777" w:rsidR="001F5FBE" w:rsidRDefault="001F5FBE">
            <w:pPr>
              <w:spacing w:after="160"/>
              <w:cnfStyle w:val="000000000000" w:firstRow="0" w:lastRow="0" w:firstColumn="0" w:lastColumn="0" w:oddVBand="0" w:evenVBand="0" w:oddHBand="0" w:evenHBand="0" w:firstRowFirstColumn="0" w:firstRowLastColumn="0" w:lastRowFirstColumn="0" w:lastRowLastColumn="0"/>
            </w:pPr>
            <w:r>
              <w:t>Measured precision, recall, false positives, false negatives, and evidence quality.</w:t>
            </w:r>
          </w:p>
        </w:tc>
      </w:tr>
      <w:tr w:rsidR="001F5FBE" w14:paraId="5A0D895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3337FF" w14:textId="77777777" w:rsidR="001F5FBE" w:rsidRDefault="001F5FBE">
            <w:pPr>
              <w:spacing w:after="160"/>
            </w:pPr>
            <w:r>
              <w:t>Phase 3: Limited production</w:t>
            </w:r>
          </w:p>
        </w:tc>
        <w:tc>
          <w:tcPr>
            <w:tcW w:w="0" w:type="auto"/>
            <w:hideMark/>
          </w:tcPr>
          <w:p w14:paraId="6FF807A7" w14:textId="77777777" w:rsidR="001F5FBE" w:rsidRDefault="001F5FBE">
            <w:pPr>
              <w:spacing w:after="160"/>
              <w:cnfStyle w:val="000000100000" w:firstRow="0" w:lastRow="0" w:firstColumn="0" w:lastColumn="0" w:oddVBand="0" w:evenVBand="0" w:oddHBand="1" w:evenHBand="0" w:firstRowFirstColumn="0" w:firstRowLastColumn="0" w:lastRowFirstColumn="0" w:lastRowLastColumn="0"/>
            </w:pPr>
            <w:r>
              <w:t>Deploy for monitoring and analyst decision support only.</w:t>
            </w:r>
          </w:p>
        </w:tc>
        <w:tc>
          <w:tcPr>
            <w:tcW w:w="0" w:type="auto"/>
            <w:hideMark/>
          </w:tcPr>
          <w:p w14:paraId="194A7F97" w14:textId="77777777" w:rsidR="001F5FBE" w:rsidRDefault="001F5FBE">
            <w:pPr>
              <w:spacing w:after="160"/>
              <w:cnfStyle w:val="000000100000" w:firstRow="0" w:lastRow="0" w:firstColumn="0" w:lastColumn="0" w:oddVBand="0" w:evenVBand="0" w:oddHBand="1" w:evenHBand="0" w:firstRowFirstColumn="0" w:firstRowLastColumn="0" w:lastRowFirstColumn="0" w:lastRowLastColumn="0"/>
            </w:pPr>
            <w:r>
              <w:t>Human review in place; no automated material CCOR action.</w:t>
            </w:r>
          </w:p>
        </w:tc>
      </w:tr>
      <w:tr w:rsidR="001F5FBE" w14:paraId="543FD6A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459AA83" w14:textId="77777777" w:rsidR="001F5FBE" w:rsidRDefault="001F5FBE">
            <w:pPr>
              <w:spacing w:after="160"/>
            </w:pPr>
            <w:r>
              <w:t>Phase 4: Governed scaling</w:t>
            </w:r>
          </w:p>
        </w:tc>
        <w:tc>
          <w:tcPr>
            <w:tcW w:w="0" w:type="auto"/>
            <w:hideMark/>
          </w:tcPr>
          <w:p w14:paraId="0EEF4560" w14:textId="77777777" w:rsidR="001F5FBE" w:rsidRDefault="001F5FBE">
            <w:pPr>
              <w:spacing w:after="160"/>
              <w:cnfStyle w:val="000000000000" w:firstRow="0" w:lastRow="0" w:firstColumn="0" w:lastColumn="0" w:oddVBand="0" w:evenVBand="0" w:oddHBand="0" w:evenHBand="0" w:firstRowFirstColumn="0" w:firstRowLastColumn="0" w:lastRowFirstColumn="0" w:lastRowLastColumn="0"/>
            </w:pPr>
            <w:r>
              <w:t>Extend across risk themes, geographies, products, and legal entities.</w:t>
            </w:r>
          </w:p>
        </w:tc>
        <w:tc>
          <w:tcPr>
            <w:tcW w:w="0" w:type="auto"/>
            <w:hideMark/>
          </w:tcPr>
          <w:p w14:paraId="0C4528ED" w14:textId="77777777" w:rsidR="001F5FBE" w:rsidRDefault="001F5FBE">
            <w:pPr>
              <w:spacing w:after="160"/>
              <w:cnfStyle w:val="000000000000" w:firstRow="0" w:lastRow="0" w:firstColumn="0" w:lastColumn="0" w:oddVBand="0" w:evenVBand="0" w:oddHBand="0" w:evenHBand="0" w:firstRowFirstColumn="0" w:firstRowLastColumn="0" w:lastRowFirstColumn="0" w:lastRowLastColumn="0"/>
            </w:pPr>
            <w:r>
              <w:t>Independent validation, audit trail maturity, and threshold recalibration completed.</w:t>
            </w:r>
          </w:p>
        </w:tc>
      </w:tr>
    </w:tbl>
    <w:p w14:paraId="0C76C373" w14:textId="77777777" w:rsidR="001F5FBE" w:rsidRDefault="001F5FBE">
      <w:pPr>
        <w:rPr>
          <w:kern w:val="0"/>
          <w14:ligatures w14:val="none"/>
        </w:rPr>
      </w:pPr>
    </w:p>
    <w:p w14:paraId="1C356005" w14:textId="77777777" w:rsidR="001F5FBE" w:rsidRDefault="001F5FBE">
      <w:pPr>
        <w:pStyle w:val="Heading1"/>
        <w:rPr>
          <w:rFonts w:cstheme="minorBidi"/>
          <w:kern w:val="36"/>
          <w14:ligatures w14:val="none"/>
        </w:rPr>
      </w:pPr>
      <w:r>
        <w:rPr>
          <w:rFonts w:cstheme="minorBidi"/>
        </w:rPr>
        <w:t>10. Final CCOR Position</w:t>
      </w:r>
    </w:p>
    <w:p w14:paraId="33E19207" w14:textId="77777777" w:rsidR="001F5FBE" w:rsidRDefault="001F5FBE">
      <w:pPr>
        <w:rPr>
          <w:kern w:val="0"/>
          <w14:ligatures w14:val="none"/>
        </w:rPr>
      </w:pPr>
      <w:r>
        <w:t xml:space="preserve">The architecture is suitable for further development as a governed CCOR intelligence capability. It should be approved only as a decision-support and prioritisation tool, not as an autonomous risk-decisioning engine. The defensible thesis is that AI may identify and structure potential external risk signals, but enterprise-approved taxonomies, </w:t>
      </w:r>
      <w:r>
        <w:lastRenderedPageBreak/>
        <w:t xml:space="preserve">knowledge graphs, evidence scoring, policy thresholds, and human governance must determine whether the signal is relevant, material, actionable, and </w:t>
      </w:r>
      <w:proofErr w:type="spellStart"/>
      <w:r>
        <w:t>escalatable</w:t>
      </w:r>
      <w:proofErr w:type="spellEnd"/>
      <w:r>
        <w:t>.</w:t>
      </w:r>
    </w:p>
    <w:p w14:paraId="31669416" w14:textId="77777777" w:rsidR="001F5FBE" w:rsidRDefault="001F5FBE">
      <w:pPr>
        <w:rPr>
          <w:kern w:val="0"/>
          <w14:ligatures w14:val="none"/>
        </w:rPr>
      </w:pPr>
      <w:r>
        <w:t>Subject to the controls and governance conditions described above, I would support a controlled pilot focused on a limited number of high-value risk themes such as fraud, financial crime, technology disruption, third-party events, regulatory change, customer harm, and operational resilience. Production scaling should be dependent on evidence of accuracy, auditability, explainability, integration with authoritative enterprise inventories, and demonstrated human oversight.</w:t>
      </w:r>
    </w:p>
    <w:p w14:paraId="6E1D1D8E" w14:textId="77777777" w:rsidR="00F52377" w:rsidRDefault="00F52377">
      <w:pPr>
        <w:pStyle w:val="Heading1"/>
        <w:rPr>
          <w:rFonts w:cstheme="minorBidi"/>
          <w:kern w:val="36"/>
          <w14:ligatures w14:val="none"/>
        </w:rPr>
      </w:pPr>
      <w:r>
        <w:rPr>
          <w:rFonts w:cstheme="minorBidi"/>
        </w:rPr>
        <w:t>Appendix A: Scoring Threshold Framework</w:t>
      </w:r>
    </w:p>
    <w:p w14:paraId="4DB62FE0" w14:textId="77777777" w:rsidR="00F52377" w:rsidRDefault="00F52377">
      <w:pPr>
        <w:rPr>
          <w:kern w:val="0"/>
          <w14:ligatures w14:val="none"/>
        </w:rPr>
      </w:pPr>
      <w:r>
        <w:t>This appendix provides an illustrative scoring framework for converting external risk signals into governed CCOR routing outcomes. The thresholds should be treated as a starting point for pilot calibration and must be approved through the relevant governance forum before production use.</w:t>
      </w:r>
    </w:p>
    <w:p w14:paraId="25072696" w14:textId="77777777" w:rsidR="00F52377" w:rsidRDefault="00F52377">
      <w:pPr>
        <w:pStyle w:val="Heading2"/>
        <w:rPr>
          <w:rFonts w:asciiTheme="minorHAnsi" w:hAnsiTheme="minorHAnsi" w:cstheme="minorBidi"/>
          <w:kern w:val="0"/>
          <w:sz w:val="36"/>
          <w:szCs w:val="36"/>
          <w14:ligatures w14:val="none"/>
        </w:rPr>
      </w:pPr>
      <w:r>
        <w:rPr>
          <w:rFonts w:asciiTheme="minorHAnsi" w:hAnsiTheme="minorHAnsi" w:cstheme="minorBidi"/>
        </w:rPr>
        <w:t>A.1 Scoring Components</w:t>
      </w:r>
    </w:p>
    <w:tbl>
      <w:tblPr>
        <w:tblStyle w:val="GridTable4-Accent1"/>
        <w:tblW w:w="5000" w:type="pct"/>
        <w:tblLook w:val="04A0" w:firstRow="1" w:lastRow="0" w:firstColumn="1" w:lastColumn="0" w:noHBand="0" w:noVBand="1"/>
      </w:tblPr>
      <w:tblGrid>
        <w:gridCol w:w="1833"/>
        <w:gridCol w:w="5678"/>
        <w:gridCol w:w="1505"/>
      </w:tblGrid>
      <w:tr w:rsidR="00F52377" w14:paraId="68C1498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B160FF" w14:textId="77777777" w:rsidR="00F52377" w:rsidRDefault="00F52377">
            <w:pPr>
              <w:spacing w:after="160"/>
              <w:rPr>
                <w:kern w:val="0"/>
                <w14:ligatures w14:val="none"/>
              </w:rPr>
            </w:pPr>
            <w:r>
              <w:t>Component</w:t>
            </w:r>
          </w:p>
        </w:tc>
        <w:tc>
          <w:tcPr>
            <w:tcW w:w="0" w:type="auto"/>
            <w:hideMark/>
          </w:tcPr>
          <w:p w14:paraId="44E2D31B" w14:textId="77777777" w:rsidR="00F52377" w:rsidRDefault="00F52377">
            <w:pPr>
              <w:spacing w:after="160"/>
              <w:cnfStyle w:val="100000000000" w:firstRow="1" w:lastRow="0" w:firstColumn="0" w:lastColumn="0" w:oddVBand="0" w:evenVBand="0" w:oddHBand="0" w:evenHBand="0" w:firstRowFirstColumn="0" w:firstRowLastColumn="0" w:lastRowFirstColumn="0" w:lastRowLastColumn="0"/>
            </w:pPr>
            <w:r>
              <w:t>Purpose</w:t>
            </w:r>
          </w:p>
        </w:tc>
        <w:tc>
          <w:tcPr>
            <w:tcW w:w="0" w:type="auto"/>
            <w:hideMark/>
          </w:tcPr>
          <w:p w14:paraId="4CC97CB0" w14:textId="77777777" w:rsidR="00F52377" w:rsidRDefault="00F52377">
            <w:pPr>
              <w:spacing w:after="160"/>
              <w:cnfStyle w:val="100000000000" w:firstRow="1" w:lastRow="0" w:firstColumn="0" w:lastColumn="0" w:oddVBand="0" w:evenVBand="0" w:oddHBand="0" w:evenHBand="0" w:firstRowFirstColumn="0" w:firstRowLastColumn="0" w:lastRowFirstColumn="0" w:lastRowLastColumn="0"/>
            </w:pPr>
            <w:r>
              <w:t>Indicative Weight</w:t>
            </w:r>
          </w:p>
        </w:tc>
      </w:tr>
      <w:tr w:rsidR="00F52377" w14:paraId="78FB679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2E6E7F" w14:textId="77777777" w:rsidR="00F52377" w:rsidRDefault="00F52377">
            <w:pPr>
              <w:spacing w:after="160"/>
            </w:pPr>
            <w:r>
              <w:t>Mapping Strength</w:t>
            </w:r>
          </w:p>
        </w:tc>
        <w:tc>
          <w:tcPr>
            <w:tcW w:w="0" w:type="auto"/>
            <w:hideMark/>
          </w:tcPr>
          <w:p w14:paraId="4251EFA7" w14:textId="77777777" w:rsidR="00F52377" w:rsidRDefault="00F52377">
            <w:pPr>
              <w:spacing w:after="160"/>
              <w:cnfStyle w:val="000000100000" w:firstRow="0" w:lastRow="0" w:firstColumn="0" w:lastColumn="0" w:oddVBand="0" w:evenVBand="0" w:oddHBand="1" w:evenHBand="0" w:firstRowFirstColumn="0" w:firstRowLastColumn="0" w:lastRowFirstColumn="0" w:lastRowLastColumn="0"/>
            </w:pPr>
            <w:r>
              <w:t>Measures how clearly the external event maps to an approved CCOR taxonomy node, risk type, control theme, or regulatory obligation.</w:t>
            </w:r>
          </w:p>
        </w:tc>
        <w:tc>
          <w:tcPr>
            <w:tcW w:w="0" w:type="auto"/>
            <w:hideMark/>
          </w:tcPr>
          <w:p w14:paraId="5C63BAA0" w14:textId="77777777" w:rsidR="00F52377" w:rsidRDefault="00F52377">
            <w:pPr>
              <w:spacing w:after="160"/>
              <w:cnfStyle w:val="000000100000" w:firstRow="0" w:lastRow="0" w:firstColumn="0" w:lastColumn="0" w:oddVBand="0" w:evenVBand="0" w:oddHBand="1" w:evenHBand="0" w:firstRowFirstColumn="0" w:firstRowLastColumn="0" w:lastRowFirstColumn="0" w:lastRowLastColumn="0"/>
            </w:pPr>
            <w:r>
              <w:t>30%</w:t>
            </w:r>
          </w:p>
        </w:tc>
      </w:tr>
      <w:tr w:rsidR="00F52377" w14:paraId="7FCB707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FC2C38E" w14:textId="77777777" w:rsidR="00F52377" w:rsidRDefault="00F52377">
            <w:pPr>
              <w:spacing w:after="160"/>
            </w:pPr>
            <w:r>
              <w:t>Exposure Strength</w:t>
            </w:r>
          </w:p>
        </w:tc>
        <w:tc>
          <w:tcPr>
            <w:tcW w:w="0" w:type="auto"/>
            <w:hideMark/>
          </w:tcPr>
          <w:p w14:paraId="4DD51067" w14:textId="77777777" w:rsidR="00F52377" w:rsidRDefault="00F52377">
            <w:pPr>
              <w:spacing w:after="160"/>
              <w:cnfStyle w:val="000000000000" w:firstRow="0" w:lastRow="0" w:firstColumn="0" w:lastColumn="0" w:oddVBand="0" w:evenVBand="0" w:oddHBand="0" w:evenHBand="0" w:firstRowFirstColumn="0" w:firstRowLastColumn="0" w:lastRowFirstColumn="0" w:lastRowLastColumn="0"/>
            </w:pPr>
            <w:r>
              <w:t>Measures whether the organisation has relevant exposure through products, services, geographies, legal entities, vendors, applications, or customer segments.</w:t>
            </w:r>
          </w:p>
        </w:tc>
        <w:tc>
          <w:tcPr>
            <w:tcW w:w="0" w:type="auto"/>
            <w:hideMark/>
          </w:tcPr>
          <w:p w14:paraId="01E315E4" w14:textId="77777777" w:rsidR="00F52377" w:rsidRDefault="00F52377">
            <w:pPr>
              <w:spacing w:after="160"/>
              <w:cnfStyle w:val="000000000000" w:firstRow="0" w:lastRow="0" w:firstColumn="0" w:lastColumn="0" w:oddVBand="0" w:evenVBand="0" w:oddHBand="0" w:evenHBand="0" w:firstRowFirstColumn="0" w:firstRowLastColumn="0" w:lastRowFirstColumn="0" w:lastRowLastColumn="0"/>
            </w:pPr>
            <w:r>
              <w:t>30%</w:t>
            </w:r>
          </w:p>
        </w:tc>
      </w:tr>
      <w:tr w:rsidR="00F52377" w14:paraId="66339ED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A67E9E" w14:textId="77777777" w:rsidR="00F52377" w:rsidRDefault="00F52377">
            <w:pPr>
              <w:spacing w:after="160"/>
            </w:pPr>
            <w:r>
              <w:t>Control Vulnerability</w:t>
            </w:r>
          </w:p>
        </w:tc>
        <w:tc>
          <w:tcPr>
            <w:tcW w:w="0" w:type="auto"/>
            <w:hideMark/>
          </w:tcPr>
          <w:p w14:paraId="205447B2" w14:textId="77777777" w:rsidR="00F52377" w:rsidRDefault="00F52377">
            <w:pPr>
              <w:spacing w:after="160"/>
              <w:cnfStyle w:val="000000100000" w:firstRow="0" w:lastRow="0" w:firstColumn="0" w:lastColumn="0" w:oddVBand="0" w:evenVBand="0" w:oddHBand="1" w:evenHBand="0" w:firstRowFirstColumn="0" w:firstRowLastColumn="0" w:lastRowFirstColumn="0" w:lastRowLastColumn="0"/>
            </w:pPr>
            <w:r>
              <w:t>Measures whether existing controls, issues, incidents, test results, RCSA records, or audit findings indicate heightened vulnerability.</w:t>
            </w:r>
          </w:p>
        </w:tc>
        <w:tc>
          <w:tcPr>
            <w:tcW w:w="0" w:type="auto"/>
            <w:hideMark/>
          </w:tcPr>
          <w:p w14:paraId="5C4F3867" w14:textId="77777777" w:rsidR="00F52377" w:rsidRDefault="00F52377">
            <w:pPr>
              <w:spacing w:after="160"/>
              <w:cnfStyle w:val="000000100000" w:firstRow="0" w:lastRow="0" w:firstColumn="0" w:lastColumn="0" w:oddVBand="0" w:evenVBand="0" w:oddHBand="1" w:evenHBand="0" w:firstRowFirstColumn="0" w:firstRowLastColumn="0" w:lastRowFirstColumn="0" w:lastRowLastColumn="0"/>
            </w:pPr>
            <w:r>
              <w:t>25%</w:t>
            </w:r>
          </w:p>
        </w:tc>
      </w:tr>
      <w:tr w:rsidR="00F52377" w14:paraId="7B8197C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56236C9" w14:textId="77777777" w:rsidR="00F52377" w:rsidRDefault="00F52377">
            <w:pPr>
              <w:spacing w:after="160"/>
            </w:pPr>
            <w:r>
              <w:t>Source Reliability</w:t>
            </w:r>
          </w:p>
        </w:tc>
        <w:tc>
          <w:tcPr>
            <w:tcW w:w="0" w:type="auto"/>
            <w:hideMark/>
          </w:tcPr>
          <w:p w14:paraId="03DCA732" w14:textId="77777777" w:rsidR="00F52377" w:rsidRDefault="00F52377">
            <w:pPr>
              <w:spacing w:after="160"/>
              <w:cnfStyle w:val="000000000000" w:firstRow="0" w:lastRow="0" w:firstColumn="0" w:lastColumn="0" w:oddVBand="0" w:evenVBand="0" w:oddHBand="0" w:evenHBand="0" w:firstRowFirstColumn="0" w:firstRowLastColumn="0" w:lastRowFirstColumn="0" w:lastRowLastColumn="0"/>
            </w:pPr>
            <w:r>
              <w:t>Measures the credibility, independence, recency, and corroboration of the external source material.</w:t>
            </w:r>
          </w:p>
        </w:tc>
        <w:tc>
          <w:tcPr>
            <w:tcW w:w="0" w:type="auto"/>
            <w:hideMark/>
          </w:tcPr>
          <w:p w14:paraId="4306EB67" w14:textId="77777777" w:rsidR="00F52377" w:rsidRDefault="00F52377">
            <w:pPr>
              <w:spacing w:after="160"/>
              <w:cnfStyle w:val="000000000000" w:firstRow="0" w:lastRow="0" w:firstColumn="0" w:lastColumn="0" w:oddVBand="0" w:evenVBand="0" w:oddHBand="0" w:evenHBand="0" w:firstRowFirstColumn="0" w:firstRowLastColumn="0" w:lastRowFirstColumn="0" w:lastRowLastColumn="0"/>
            </w:pPr>
            <w:r>
              <w:t>15%</w:t>
            </w:r>
          </w:p>
        </w:tc>
      </w:tr>
    </w:tbl>
    <w:p w14:paraId="44011D3D" w14:textId="77777777" w:rsidR="00F52377" w:rsidRDefault="00F52377">
      <w:pPr>
        <w:rPr>
          <w:kern w:val="0"/>
          <w14:ligatures w14:val="none"/>
        </w:rPr>
      </w:pPr>
    </w:p>
    <w:p w14:paraId="29661BD4" w14:textId="77777777" w:rsidR="00F52377" w:rsidRDefault="00F52377">
      <w:pPr>
        <w:pStyle w:val="Heading2"/>
        <w:rPr>
          <w:rFonts w:cstheme="minorBidi"/>
          <w:kern w:val="0"/>
          <w14:ligatures w14:val="none"/>
        </w:rPr>
      </w:pPr>
      <w:r>
        <w:rPr>
          <w:rFonts w:cstheme="minorBidi"/>
        </w:rPr>
        <w:t>A.2 Component Scoring Scale</w:t>
      </w:r>
    </w:p>
    <w:tbl>
      <w:tblPr>
        <w:tblStyle w:val="GridTable4-Accent1"/>
        <w:tblW w:w="5000" w:type="pct"/>
        <w:tblLook w:val="04A0" w:firstRow="1" w:lastRow="0" w:firstColumn="1" w:lastColumn="0" w:noHBand="0" w:noVBand="1"/>
      </w:tblPr>
      <w:tblGrid>
        <w:gridCol w:w="851"/>
        <w:gridCol w:w="2287"/>
        <w:gridCol w:w="5878"/>
      </w:tblGrid>
      <w:tr w:rsidR="00F52377" w14:paraId="12B632D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690650" w14:textId="77777777" w:rsidR="00F52377" w:rsidRDefault="00F52377">
            <w:pPr>
              <w:spacing w:after="160"/>
              <w:rPr>
                <w:kern w:val="0"/>
                <w14:ligatures w14:val="none"/>
              </w:rPr>
            </w:pPr>
            <w:r>
              <w:t>Score</w:t>
            </w:r>
          </w:p>
        </w:tc>
        <w:tc>
          <w:tcPr>
            <w:tcW w:w="0" w:type="auto"/>
            <w:hideMark/>
          </w:tcPr>
          <w:p w14:paraId="712424AB" w14:textId="77777777" w:rsidR="00F52377" w:rsidRDefault="00F52377">
            <w:pPr>
              <w:spacing w:after="160"/>
              <w:cnfStyle w:val="100000000000" w:firstRow="1" w:lastRow="0" w:firstColumn="0" w:lastColumn="0" w:oddVBand="0" w:evenVBand="0" w:oddHBand="0" w:evenHBand="0" w:firstRowFirstColumn="0" w:firstRowLastColumn="0" w:lastRowFirstColumn="0" w:lastRowLastColumn="0"/>
            </w:pPr>
            <w:r>
              <w:t>Interpretation</w:t>
            </w:r>
          </w:p>
        </w:tc>
        <w:tc>
          <w:tcPr>
            <w:tcW w:w="0" w:type="auto"/>
            <w:hideMark/>
          </w:tcPr>
          <w:p w14:paraId="129FACD5" w14:textId="77777777" w:rsidR="00F52377" w:rsidRDefault="00F52377">
            <w:pPr>
              <w:spacing w:after="160"/>
              <w:cnfStyle w:val="100000000000" w:firstRow="1" w:lastRow="0" w:firstColumn="0" w:lastColumn="0" w:oddVBand="0" w:evenVBand="0" w:oddHBand="0" w:evenHBand="0" w:firstRowFirstColumn="0" w:firstRowLastColumn="0" w:lastRowFirstColumn="0" w:lastRowLastColumn="0"/>
            </w:pPr>
            <w:r>
              <w:t>Evidence Standard</w:t>
            </w:r>
          </w:p>
        </w:tc>
      </w:tr>
      <w:tr w:rsidR="00F52377" w14:paraId="45BE6E7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C8EBD8" w14:textId="77777777" w:rsidR="00F52377" w:rsidRDefault="00F52377">
            <w:pPr>
              <w:spacing w:after="160"/>
            </w:pPr>
            <w:r>
              <w:t>0</w:t>
            </w:r>
          </w:p>
        </w:tc>
        <w:tc>
          <w:tcPr>
            <w:tcW w:w="0" w:type="auto"/>
            <w:hideMark/>
          </w:tcPr>
          <w:p w14:paraId="210CAED6" w14:textId="77777777" w:rsidR="00F52377" w:rsidRDefault="00F52377">
            <w:pPr>
              <w:spacing w:after="160"/>
              <w:cnfStyle w:val="000000100000" w:firstRow="0" w:lastRow="0" w:firstColumn="0" w:lastColumn="0" w:oddVBand="0" w:evenVBand="0" w:oddHBand="1" w:evenHBand="0" w:firstRowFirstColumn="0" w:firstRowLastColumn="0" w:lastRowFirstColumn="0" w:lastRowLastColumn="0"/>
            </w:pPr>
            <w:r>
              <w:t>No relevant linkage identified.</w:t>
            </w:r>
          </w:p>
        </w:tc>
        <w:tc>
          <w:tcPr>
            <w:tcW w:w="0" w:type="auto"/>
            <w:hideMark/>
          </w:tcPr>
          <w:p w14:paraId="7E9C1AD6" w14:textId="77777777" w:rsidR="00F52377" w:rsidRDefault="00F52377">
            <w:pPr>
              <w:spacing w:after="160"/>
              <w:cnfStyle w:val="000000100000" w:firstRow="0" w:lastRow="0" w:firstColumn="0" w:lastColumn="0" w:oddVBand="0" w:evenVBand="0" w:oddHBand="1" w:evenHBand="0" w:firstRowFirstColumn="0" w:firstRowLastColumn="0" w:lastRowFirstColumn="0" w:lastRowLastColumn="0"/>
            </w:pPr>
            <w:r>
              <w:t>No credible source, no taxonomy match, or no organisational exposure.</w:t>
            </w:r>
          </w:p>
        </w:tc>
      </w:tr>
      <w:tr w:rsidR="00F52377" w14:paraId="70E2F25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59FB1B4" w14:textId="77777777" w:rsidR="00F52377" w:rsidRDefault="00F52377">
            <w:pPr>
              <w:spacing w:after="160"/>
            </w:pPr>
            <w:r>
              <w:t>1</w:t>
            </w:r>
          </w:p>
        </w:tc>
        <w:tc>
          <w:tcPr>
            <w:tcW w:w="0" w:type="auto"/>
            <w:hideMark/>
          </w:tcPr>
          <w:p w14:paraId="4A711943" w14:textId="77777777" w:rsidR="00F52377" w:rsidRDefault="00F52377">
            <w:pPr>
              <w:spacing w:after="160"/>
              <w:cnfStyle w:val="000000000000" w:firstRow="0" w:lastRow="0" w:firstColumn="0" w:lastColumn="0" w:oddVBand="0" w:evenVBand="0" w:oddHBand="0" w:evenHBand="0" w:firstRowFirstColumn="0" w:firstRowLastColumn="0" w:lastRowFirstColumn="0" w:lastRowLastColumn="0"/>
            </w:pPr>
            <w:r>
              <w:t>Weak linkage.</w:t>
            </w:r>
          </w:p>
        </w:tc>
        <w:tc>
          <w:tcPr>
            <w:tcW w:w="0" w:type="auto"/>
            <w:hideMark/>
          </w:tcPr>
          <w:p w14:paraId="6FE2F521" w14:textId="77777777" w:rsidR="00F52377" w:rsidRDefault="00F52377">
            <w:pPr>
              <w:spacing w:after="160"/>
              <w:cnfStyle w:val="000000000000" w:firstRow="0" w:lastRow="0" w:firstColumn="0" w:lastColumn="0" w:oddVBand="0" w:evenVBand="0" w:oddHBand="0" w:evenHBand="0" w:firstRowFirstColumn="0" w:firstRowLastColumn="0" w:lastRowFirstColumn="0" w:lastRowLastColumn="0"/>
            </w:pPr>
            <w:r>
              <w:t>Single low-specificity indicator with limited corroboration.</w:t>
            </w:r>
          </w:p>
        </w:tc>
      </w:tr>
      <w:tr w:rsidR="00F52377" w14:paraId="5572B98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78D1E5" w14:textId="77777777" w:rsidR="00F52377" w:rsidRDefault="00F52377">
            <w:pPr>
              <w:spacing w:after="160"/>
            </w:pPr>
            <w:r>
              <w:lastRenderedPageBreak/>
              <w:t>2</w:t>
            </w:r>
          </w:p>
        </w:tc>
        <w:tc>
          <w:tcPr>
            <w:tcW w:w="0" w:type="auto"/>
            <w:hideMark/>
          </w:tcPr>
          <w:p w14:paraId="2F191EA0" w14:textId="77777777" w:rsidR="00F52377" w:rsidRDefault="00F52377">
            <w:pPr>
              <w:spacing w:after="160"/>
              <w:cnfStyle w:val="000000100000" w:firstRow="0" w:lastRow="0" w:firstColumn="0" w:lastColumn="0" w:oddVBand="0" w:evenVBand="0" w:oddHBand="1" w:evenHBand="0" w:firstRowFirstColumn="0" w:firstRowLastColumn="0" w:lastRowFirstColumn="0" w:lastRowLastColumn="0"/>
            </w:pPr>
            <w:r>
              <w:t>Moderate linkage.</w:t>
            </w:r>
          </w:p>
        </w:tc>
        <w:tc>
          <w:tcPr>
            <w:tcW w:w="0" w:type="auto"/>
            <w:hideMark/>
          </w:tcPr>
          <w:p w14:paraId="71B8B132" w14:textId="77777777" w:rsidR="00F52377" w:rsidRDefault="00F52377">
            <w:pPr>
              <w:spacing w:after="160"/>
              <w:cnfStyle w:val="000000100000" w:firstRow="0" w:lastRow="0" w:firstColumn="0" w:lastColumn="0" w:oddVBand="0" w:evenVBand="0" w:oddHBand="1" w:evenHBand="0" w:firstRowFirstColumn="0" w:firstRowLastColumn="0" w:lastRowFirstColumn="0" w:lastRowLastColumn="0"/>
            </w:pPr>
            <w:r>
              <w:t>Clear thematic relevance with partial exposure or limited internal evidence.</w:t>
            </w:r>
          </w:p>
        </w:tc>
      </w:tr>
      <w:tr w:rsidR="00F52377" w14:paraId="57633ED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D4485AD" w14:textId="77777777" w:rsidR="00F52377" w:rsidRDefault="00F52377">
            <w:pPr>
              <w:spacing w:after="160"/>
            </w:pPr>
            <w:r>
              <w:t>3</w:t>
            </w:r>
          </w:p>
        </w:tc>
        <w:tc>
          <w:tcPr>
            <w:tcW w:w="0" w:type="auto"/>
            <w:hideMark/>
          </w:tcPr>
          <w:p w14:paraId="38C90D92" w14:textId="77777777" w:rsidR="00F52377" w:rsidRDefault="00F52377">
            <w:pPr>
              <w:spacing w:after="160"/>
              <w:cnfStyle w:val="000000000000" w:firstRow="0" w:lastRow="0" w:firstColumn="0" w:lastColumn="0" w:oddVBand="0" w:evenVBand="0" w:oddHBand="0" w:evenHBand="0" w:firstRowFirstColumn="0" w:firstRowLastColumn="0" w:lastRowFirstColumn="0" w:lastRowLastColumn="0"/>
            </w:pPr>
            <w:r>
              <w:t>Strong linkage.</w:t>
            </w:r>
          </w:p>
        </w:tc>
        <w:tc>
          <w:tcPr>
            <w:tcW w:w="0" w:type="auto"/>
            <w:hideMark/>
          </w:tcPr>
          <w:p w14:paraId="141A7E12" w14:textId="77777777" w:rsidR="00F52377" w:rsidRDefault="00F52377">
            <w:pPr>
              <w:spacing w:after="160"/>
              <w:cnfStyle w:val="000000000000" w:firstRow="0" w:lastRow="0" w:firstColumn="0" w:lastColumn="0" w:oddVBand="0" w:evenVBand="0" w:oddHBand="0" w:evenHBand="0" w:firstRowFirstColumn="0" w:firstRowLastColumn="0" w:lastRowFirstColumn="0" w:lastRowLastColumn="0"/>
            </w:pPr>
            <w:r>
              <w:t>Direct taxonomy match, relevant exposure, and credible corroborating evidence.</w:t>
            </w:r>
          </w:p>
        </w:tc>
      </w:tr>
      <w:tr w:rsidR="00F52377" w14:paraId="4134039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6DE6AB" w14:textId="77777777" w:rsidR="00F52377" w:rsidRDefault="00F52377">
            <w:pPr>
              <w:spacing w:after="160"/>
            </w:pPr>
            <w:r>
              <w:t>4</w:t>
            </w:r>
          </w:p>
        </w:tc>
        <w:tc>
          <w:tcPr>
            <w:tcW w:w="0" w:type="auto"/>
            <w:hideMark/>
          </w:tcPr>
          <w:p w14:paraId="3436E292" w14:textId="77777777" w:rsidR="00F52377" w:rsidRDefault="00F52377">
            <w:pPr>
              <w:spacing w:after="160"/>
              <w:cnfStyle w:val="000000100000" w:firstRow="0" w:lastRow="0" w:firstColumn="0" w:lastColumn="0" w:oddVBand="0" w:evenVBand="0" w:oddHBand="1" w:evenHBand="0" w:firstRowFirstColumn="0" w:firstRowLastColumn="0" w:lastRowFirstColumn="0" w:lastRowLastColumn="0"/>
            </w:pPr>
            <w:r>
              <w:t>Very strong linkage.</w:t>
            </w:r>
          </w:p>
        </w:tc>
        <w:tc>
          <w:tcPr>
            <w:tcW w:w="0" w:type="auto"/>
            <w:hideMark/>
          </w:tcPr>
          <w:p w14:paraId="389EDA93" w14:textId="77777777" w:rsidR="00F52377" w:rsidRDefault="00F52377">
            <w:pPr>
              <w:spacing w:after="160"/>
              <w:cnfStyle w:val="000000100000" w:firstRow="0" w:lastRow="0" w:firstColumn="0" w:lastColumn="0" w:oddVBand="0" w:evenVBand="0" w:oddHBand="1" w:evenHBand="0" w:firstRowFirstColumn="0" w:firstRowLastColumn="0" w:lastRowFirstColumn="0" w:lastRowLastColumn="0"/>
            </w:pPr>
            <w:r>
              <w:t>Direct event-to-exposure match with internal vulnerability indicators or prior related issues.</w:t>
            </w:r>
          </w:p>
        </w:tc>
      </w:tr>
      <w:tr w:rsidR="00F52377" w14:paraId="3D06223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37A3E3A" w14:textId="77777777" w:rsidR="00F52377" w:rsidRDefault="00F52377">
            <w:pPr>
              <w:spacing w:after="160"/>
            </w:pPr>
            <w:r>
              <w:t>5</w:t>
            </w:r>
          </w:p>
        </w:tc>
        <w:tc>
          <w:tcPr>
            <w:tcW w:w="0" w:type="auto"/>
            <w:hideMark/>
          </w:tcPr>
          <w:p w14:paraId="03B1FB69" w14:textId="77777777" w:rsidR="00F52377" w:rsidRDefault="00F52377">
            <w:pPr>
              <w:spacing w:after="160"/>
              <w:cnfStyle w:val="000000000000" w:firstRow="0" w:lastRow="0" w:firstColumn="0" w:lastColumn="0" w:oddVBand="0" w:evenVBand="0" w:oddHBand="0" w:evenHBand="0" w:firstRowFirstColumn="0" w:firstRowLastColumn="0" w:lastRowFirstColumn="0" w:lastRowLastColumn="0"/>
            </w:pPr>
            <w:r>
              <w:t>Critical linkage.</w:t>
            </w:r>
          </w:p>
        </w:tc>
        <w:tc>
          <w:tcPr>
            <w:tcW w:w="0" w:type="auto"/>
            <w:hideMark/>
          </w:tcPr>
          <w:p w14:paraId="5E06916E" w14:textId="77777777" w:rsidR="00F52377" w:rsidRDefault="00F52377">
            <w:pPr>
              <w:spacing w:after="160"/>
              <w:cnfStyle w:val="000000000000" w:firstRow="0" w:lastRow="0" w:firstColumn="0" w:lastColumn="0" w:oddVBand="0" w:evenVBand="0" w:oddHBand="0" w:evenHBand="0" w:firstRowFirstColumn="0" w:firstRowLastColumn="0" w:lastRowFirstColumn="0" w:lastRowLastColumn="0"/>
            </w:pPr>
            <w:r>
              <w:t>Confirmed exposure with material control weakness, regulatory relevance, customer impact, or operational disruption potential.</w:t>
            </w:r>
          </w:p>
        </w:tc>
      </w:tr>
    </w:tbl>
    <w:p w14:paraId="64B998A0" w14:textId="77777777" w:rsidR="00F52377" w:rsidRDefault="00F52377">
      <w:pPr>
        <w:rPr>
          <w:kern w:val="0"/>
          <w14:ligatures w14:val="none"/>
        </w:rPr>
      </w:pPr>
    </w:p>
    <w:p w14:paraId="00D3A9C3" w14:textId="77777777" w:rsidR="00F52377" w:rsidRDefault="00F52377">
      <w:pPr>
        <w:pStyle w:val="Heading2"/>
        <w:rPr>
          <w:rFonts w:cstheme="minorBidi"/>
          <w:kern w:val="0"/>
          <w14:ligatures w14:val="none"/>
        </w:rPr>
      </w:pPr>
      <w:r>
        <w:rPr>
          <w:rFonts w:cstheme="minorBidi"/>
        </w:rPr>
        <w:t>A.3 Composite Threshold Bands</w:t>
      </w:r>
    </w:p>
    <w:tbl>
      <w:tblPr>
        <w:tblStyle w:val="GridTable4-Accent1"/>
        <w:tblW w:w="5000" w:type="pct"/>
        <w:tblLook w:val="04A0" w:firstRow="1" w:lastRow="0" w:firstColumn="1" w:lastColumn="0" w:noHBand="0" w:noVBand="1"/>
      </w:tblPr>
      <w:tblGrid>
        <w:gridCol w:w="1618"/>
        <w:gridCol w:w="1410"/>
        <w:gridCol w:w="5988"/>
      </w:tblGrid>
      <w:tr w:rsidR="00F52377" w14:paraId="504C4D7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DFFC2C" w14:textId="77777777" w:rsidR="00F52377" w:rsidRDefault="00F52377">
            <w:pPr>
              <w:spacing w:after="160"/>
              <w:rPr>
                <w:kern w:val="0"/>
                <w14:ligatures w14:val="none"/>
              </w:rPr>
            </w:pPr>
            <w:r>
              <w:t>Composite Score</w:t>
            </w:r>
          </w:p>
        </w:tc>
        <w:tc>
          <w:tcPr>
            <w:tcW w:w="0" w:type="auto"/>
            <w:hideMark/>
          </w:tcPr>
          <w:p w14:paraId="72DA27A1" w14:textId="77777777" w:rsidR="00F52377" w:rsidRDefault="00F52377">
            <w:pPr>
              <w:spacing w:after="160"/>
              <w:cnfStyle w:val="100000000000" w:firstRow="1" w:lastRow="0" w:firstColumn="0" w:lastColumn="0" w:oddVBand="0" w:evenVBand="0" w:oddHBand="0" w:evenHBand="0" w:firstRowFirstColumn="0" w:firstRowLastColumn="0" w:lastRowFirstColumn="0" w:lastRowLastColumn="0"/>
            </w:pPr>
            <w:r>
              <w:t>Band</w:t>
            </w:r>
          </w:p>
        </w:tc>
        <w:tc>
          <w:tcPr>
            <w:tcW w:w="0" w:type="auto"/>
            <w:hideMark/>
          </w:tcPr>
          <w:p w14:paraId="362F513C" w14:textId="77777777" w:rsidR="00F52377" w:rsidRDefault="00F52377">
            <w:pPr>
              <w:spacing w:after="160"/>
              <w:cnfStyle w:val="100000000000" w:firstRow="1" w:lastRow="0" w:firstColumn="0" w:lastColumn="0" w:oddVBand="0" w:evenVBand="0" w:oddHBand="0" w:evenHBand="0" w:firstRowFirstColumn="0" w:firstRowLastColumn="0" w:lastRowFirstColumn="0" w:lastRowLastColumn="0"/>
            </w:pPr>
            <w:r>
              <w:t>Default Routing Outcome</w:t>
            </w:r>
          </w:p>
        </w:tc>
      </w:tr>
      <w:tr w:rsidR="00F52377" w14:paraId="1A39325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4523A1" w14:textId="77777777" w:rsidR="00F52377" w:rsidRDefault="00F52377">
            <w:pPr>
              <w:spacing w:after="160"/>
            </w:pPr>
            <w:r>
              <w:t>0.00–1.49</w:t>
            </w:r>
          </w:p>
        </w:tc>
        <w:tc>
          <w:tcPr>
            <w:tcW w:w="0" w:type="auto"/>
            <w:hideMark/>
          </w:tcPr>
          <w:p w14:paraId="697496F3" w14:textId="77777777" w:rsidR="00F52377" w:rsidRDefault="00F52377">
            <w:pPr>
              <w:spacing w:after="160"/>
              <w:cnfStyle w:val="000000100000" w:firstRow="0" w:lastRow="0" w:firstColumn="0" w:lastColumn="0" w:oddVBand="0" w:evenVBand="0" w:oddHBand="1" w:evenHBand="0" w:firstRowFirstColumn="0" w:firstRowLastColumn="0" w:lastRowFirstColumn="0" w:lastRowLastColumn="0"/>
            </w:pPr>
            <w:r>
              <w:t>Low</w:t>
            </w:r>
          </w:p>
        </w:tc>
        <w:tc>
          <w:tcPr>
            <w:tcW w:w="0" w:type="auto"/>
            <w:hideMark/>
          </w:tcPr>
          <w:p w14:paraId="38CFE2B6" w14:textId="77777777" w:rsidR="00F52377" w:rsidRDefault="00F52377">
            <w:pPr>
              <w:spacing w:after="160"/>
              <w:cnfStyle w:val="000000100000" w:firstRow="0" w:lastRow="0" w:firstColumn="0" w:lastColumn="0" w:oddVBand="0" w:evenVBand="0" w:oddHBand="1" w:evenHBand="0" w:firstRowFirstColumn="0" w:firstRowLastColumn="0" w:lastRowFirstColumn="0" w:lastRowLastColumn="0"/>
            </w:pPr>
            <w:r>
              <w:t>No immediate action. Retain evidence for trend monitoring and source-quality review.</w:t>
            </w:r>
          </w:p>
        </w:tc>
      </w:tr>
      <w:tr w:rsidR="00F52377" w14:paraId="1C68631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F4C0ADF" w14:textId="77777777" w:rsidR="00F52377" w:rsidRDefault="00F52377">
            <w:pPr>
              <w:spacing w:after="160"/>
            </w:pPr>
            <w:r>
              <w:t>1.50–2.49</w:t>
            </w:r>
          </w:p>
        </w:tc>
        <w:tc>
          <w:tcPr>
            <w:tcW w:w="0" w:type="auto"/>
            <w:hideMark/>
          </w:tcPr>
          <w:p w14:paraId="4349BE64" w14:textId="77777777" w:rsidR="00F52377" w:rsidRDefault="00F52377">
            <w:pPr>
              <w:spacing w:after="160"/>
              <w:cnfStyle w:val="000000000000" w:firstRow="0" w:lastRow="0" w:firstColumn="0" w:lastColumn="0" w:oddVBand="0" w:evenVBand="0" w:oddHBand="0" w:evenHBand="0" w:firstRowFirstColumn="0" w:firstRowLastColumn="0" w:lastRowFirstColumn="0" w:lastRowLastColumn="0"/>
            </w:pPr>
            <w:r>
              <w:t>Watchlist</w:t>
            </w:r>
          </w:p>
        </w:tc>
        <w:tc>
          <w:tcPr>
            <w:tcW w:w="0" w:type="auto"/>
            <w:hideMark/>
          </w:tcPr>
          <w:p w14:paraId="7F19D0B3" w14:textId="77777777" w:rsidR="00F52377" w:rsidRDefault="00F52377">
            <w:pPr>
              <w:spacing w:after="160"/>
              <w:cnfStyle w:val="000000000000" w:firstRow="0" w:lastRow="0" w:firstColumn="0" w:lastColumn="0" w:oddVBand="0" w:evenVBand="0" w:oddHBand="0" w:evenHBand="0" w:firstRowFirstColumn="0" w:firstRowLastColumn="0" w:lastRowFirstColumn="0" w:lastRowLastColumn="0"/>
            </w:pPr>
            <w:r>
              <w:t>Monitor for recurrence, corroboration, or increase in exposure. No formal CCOR action unless repeated.</w:t>
            </w:r>
          </w:p>
        </w:tc>
      </w:tr>
      <w:tr w:rsidR="00F52377" w14:paraId="5464B05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ADE070" w14:textId="77777777" w:rsidR="00F52377" w:rsidRDefault="00F52377">
            <w:pPr>
              <w:spacing w:after="160"/>
            </w:pPr>
            <w:r>
              <w:t>2.50–3.49</w:t>
            </w:r>
          </w:p>
        </w:tc>
        <w:tc>
          <w:tcPr>
            <w:tcW w:w="0" w:type="auto"/>
            <w:hideMark/>
          </w:tcPr>
          <w:p w14:paraId="0888114B" w14:textId="77777777" w:rsidR="00F52377" w:rsidRDefault="00F52377">
            <w:pPr>
              <w:spacing w:after="160"/>
              <w:cnfStyle w:val="000000100000" w:firstRow="0" w:lastRow="0" w:firstColumn="0" w:lastColumn="0" w:oddVBand="0" w:evenVBand="0" w:oddHBand="1" w:evenHBand="0" w:firstRowFirstColumn="0" w:firstRowLastColumn="0" w:lastRowFirstColumn="0" w:lastRowLastColumn="0"/>
            </w:pPr>
            <w:r>
              <w:t>Review Required</w:t>
            </w:r>
          </w:p>
        </w:tc>
        <w:tc>
          <w:tcPr>
            <w:tcW w:w="0" w:type="auto"/>
            <w:hideMark/>
          </w:tcPr>
          <w:p w14:paraId="670C0D3C" w14:textId="77777777" w:rsidR="00F52377" w:rsidRDefault="00F52377">
            <w:pPr>
              <w:spacing w:after="160"/>
              <w:cnfStyle w:val="000000100000" w:firstRow="0" w:lastRow="0" w:firstColumn="0" w:lastColumn="0" w:oddVBand="0" w:evenVBand="0" w:oddHBand="1" w:evenHBand="0" w:firstRowFirstColumn="0" w:firstRowLastColumn="0" w:lastRowFirstColumn="0" w:lastRowLastColumn="0"/>
            </w:pPr>
            <w:r>
              <w:t>Route to responsible CCOR owner for review against RCSA, control library, issue inventory, and recent test results.</w:t>
            </w:r>
          </w:p>
        </w:tc>
      </w:tr>
      <w:tr w:rsidR="00F52377" w14:paraId="1E43D5D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5CD782F" w14:textId="77777777" w:rsidR="00F52377" w:rsidRDefault="00F52377">
            <w:pPr>
              <w:spacing w:after="160"/>
            </w:pPr>
            <w:r>
              <w:t>3.50–4.24</w:t>
            </w:r>
          </w:p>
        </w:tc>
        <w:tc>
          <w:tcPr>
            <w:tcW w:w="0" w:type="auto"/>
            <w:hideMark/>
          </w:tcPr>
          <w:p w14:paraId="26886B9B" w14:textId="77777777" w:rsidR="00F52377" w:rsidRDefault="00F52377">
            <w:pPr>
              <w:spacing w:after="160"/>
              <w:cnfStyle w:val="000000000000" w:firstRow="0" w:lastRow="0" w:firstColumn="0" w:lastColumn="0" w:oddVBand="0" w:evenVBand="0" w:oddHBand="0" w:evenHBand="0" w:firstRowFirstColumn="0" w:firstRowLastColumn="0" w:lastRowFirstColumn="0" w:lastRowLastColumn="0"/>
            </w:pPr>
            <w:r>
              <w:t>High</w:t>
            </w:r>
          </w:p>
        </w:tc>
        <w:tc>
          <w:tcPr>
            <w:tcW w:w="0" w:type="auto"/>
            <w:hideMark/>
          </w:tcPr>
          <w:p w14:paraId="5A94EC8D" w14:textId="77777777" w:rsidR="00F52377" w:rsidRDefault="00F52377">
            <w:pPr>
              <w:spacing w:after="160"/>
              <w:cnfStyle w:val="000000000000" w:firstRow="0" w:lastRow="0" w:firstColumn="0" w:lastColumn="0" w:oddVBand="0" w:evenVBand="0" w:oddHBand="0" w:evenHBand="0" w:firstRowFirstColumn="0" w:firstRowLastColumn="0" w:lastRowFirstColumn="0" w:lastRowLastColumn="0"/>
            </w:pPr>
            <w:r>
              <w:t>Open a formal assessment, determine whether targeted control testing, risk acceptance review, or management action is required.</w:t>
            </w:r>
          </w:p>
        </w:tc>
      </w:tr>
      <w:tr w:rsidR="00F52377" w14:paraId="227DF76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701D55" w14:textId="77777777" w:rsidR="00F52377" w:rsidRDefault="00F52377">
            <w:pPr>
              <w:spacing w:after="160"/>
            </w:pPr>
            <w:r>
              <w:t>4.25–5.00</w:t>
            </w:r>
          </w:p>
        </w:tc>
        <w:tc>
          <w:tcPr>
            <w:tcW w:w="0" w:type="auto"/>
            <w:hideMark/>
          </w:tcPr>
          <w:p w14:paraId="07221981" w14:textId="77777777" w:rsidR="00F52377" w:rsidRDefault="00F52377">
            <w:pPr>
              <w:spacing w:after="160"/>
              <w:cnfStyle w:val="000000100000" w:firstRow="0" w:lastRow="0" w:firstColumn="0" w:lastColumn="0" w:oddVBand="0" w:evenVBand="0" w:oddHBand="1" w:evenHBand="0" w:firstRowFirstColumn="0" w:firstRowLastColumn="0" w:lastRowFirstColumn="0" w:lastRowLastColumn="0"/>
            </w:pPr>
            <w:r>
              <w:t>Critical</w:t>
            </w:r>
          </w:p>
        </w:tc>
        <w:tc>
          <w:tcPr>
            <w:tcW w:w="0" w:type="auto"/>
            <w:hideMark/>
          </w:tcPr>
          <w:p w14:paraId="42391240" w14:textId="77777777" w:rsidR="00F52377" w:rsidRDefault="00F52377">
            <w:pPr>
              <w:spacing w:after="160"/>
              <w:cnfStyle w:val="000000100000" w:firstRow="0" w:lastRow="0" w:firstColumn="0" w:lastColumn="0" w:oddVBand="0" w:evenVBand="0" w:oddHBand="1" w:evenHBand="0" w:firstRowFirstColumn="0" w:firstRowLastColumn="0" w:lastRowFirstColumn="0" w:lastRowLastColumn="0"/>
            </w:pPr>
            <w:r>
              <w:t>Escalate to senior CCOR governance, assess issue-management criteria, and evaluate regulatory, customer, conduct, and operational resilience implications.</w:t>
            </w:r>
          </w:p>
        </w:tc>
      </w:tr>
    </w:tbl>
    <w:p w14:paraId="13403B3E" w14:textId="77777777" w:rsidR="00F52377" w:rsidRDefault="00F52377">
      <w:pPr>
        <w:rPr>
          <w:kern w:val="0"/>
          <w14:ligatures w14:val="none"/>
        </w:rPr>
      </w:pPr>
    </w:p>
    <w:p w14:paraId="53CE784D" w14:textId="77777777" w:rsidR="00F52377" w:rsidRDefault="00F52377">
      <w:pPr>
        <w:pStyle w:val="Heading2"/>
        <w:rPr>
          <w:rFonts w:cstheme="minorBidi"/>
          <w:kern w:val="0"/>
          <w14:ligatures w14:val="none"/>
        </w:rPr>
      </w:pPr>
      <w:r>
        <w:rPr>
          <w:rFonts w:cstheme="minorBidi"/>
        </w:rPr>
        <w:t>A.4 Mandatory Escalation Overrides</w:t>
      </w:r>
    </w:p>
    <w:p w14:paraId="11EE15E2" w14:textId="77777777" w:rsidR="00F52377" w:rsidRDefault="00F52377">
      <w:pPr>
        <w:rPr>
          <w:kern w:val="0"/>
          <w14:ligatures w14:val="none"/>
        </w:rPr>
      </w:pPr>
      <w:r>
        <w:t>The following conditions should override the composite score and require escalation even where the calculated band is lower:</w:t>
      </w:r>
    </w:p>
    <w:p w14:paraId="7766C7E9" w14:textId="77777777" w:rsidR="00F52377" w:rsidRPr="00F52377" w:rsidRDefault="00F52377" w:rsidP="00F52377">
      <w:pPr>
        <w:pStyle w:val="ListParagraph"/>
        <w:numPr>
          <w:ilvl w:val="0"/>
          <w:numId w:val="4"/>
        </w:numPr>
        <w:rPr>
          <w:sz w:val="20"/>
          <w:szCs w:val="20"/>
        </w:rPr>
      </w:pPr>
      <w:r w:rsidRPr="00F52377">
        <w:rPr>
          <w:sz w:val="20"/>
          <w:szCs w:val="20"/>
        </w:rPr>
        <w:t>Potential regulatory breach, reportable incident, or supervisory notification trigger.</w:t>
      </w:r>
    </w:p>
    <w:p w14:paraId="3D10267D" w14:textId="77777777" w:rsidR="00F52377" w:rsidRDefault="00F52377" w:rsidP="00F52377">
      <w:pPr>
        <w:pStyle w:val="ListParagraph"/>
        <w:numPr>
          <w:ilvl w:val="0"/>
          <w:numId w:val="4"/>
        </w:numPr>
        <w:rPr>
          <w:sz w:val="20"/>
          <w:szCs w:val="20"/>
        </w:rPr>
      </w:pPr>
      <w:r>
        <w:rPr>
          <w:sz w:val="20"/>
          <w:szCs w:val="20"/>
        </w:rPr>
        <w:t>Potential customer harm, market integrity concern, or conduct-risk implication.</w:t>
      </w:r>
    </w:p>
    <w:p w14:paraId="2FA15204" w14:textId="77777777" w:rsidR="00F52377" w:rsidRDefault="00F52377" w:rsidP="00F52377">
      <w:pPr>
        <w:pStyle w:val="ListParagraph"/>
        <w:numPr>
          <w:ilvl w:val="0"/>
          <w:numId w:val="4"/>
        </w:numPr>
        <w:rPr>
          <w:sz w:val="20"/>
          <w:szCs w:val="20"/>
        </w:rPr>
      </w:pPr>
      <w:r>
        <w:rPr>
          <w:sz w:val="20"/>
          <w:szCs w:val="20"/>
        </w:rPr>
        <w:t>Known open issue, failed control test, adverse audit finding, or repeated RCSA weakness in the same risk theme.</w:t>
      </w:r>
    </w:p>
    <w:p w14:paraId="5AD43DAA" w14:textId="77777777" w:rsidR="00F52377" w:rsidRDefault="00F52377" w:rsidP="00F52377">
      <w:pPr>
        <w:pStyle w:val="ListParagraph"/>
        <w:numPr>
          <w:ilvl w:val="0"/>
          <w:numId w:val="4"/>
        </w:numPr>
        <w:rPr>
          <w:sz w:val="20"/>
          <w:szCs w:val="20"/>
        </w:rPr>
      </w:pPr>
      <w:r>
        <w:rPr>
          <w:sz w:val="20"/>
          <w:szCs w:val="20"/>
        </w:rPr>
        <w:t>External event involving a critical service, material outsourcing arrangement, important business service, or operational resilience dependency.</w:t>
      </w:r>
    </w:p>
    <w:p w14:paraId="1B4E9746" w14:textId="77777777" w:rsidR="00F52377" w:rsidRDefault="00F52377" w:rsidP="00F52377">
      <w:pPr>
        <w:pStyle w:val="ListParagraph"/>
        <w:numPr>
          <w:ilvl w:val="0"/>
          <w:numId w:val="4"/>
        </w:numPr>
        <w:rPr>
          <w:sz w:val="20"/>
          <w:szCs w:val="20"/>
        </w:rPr>
      </w:pPr>
      <w:r>
        <w:rPr>
          <w:sz w:val="20"/>
          <w:szCs w:val="20"/>
        </w:rPr>
        <w:t>Corroborated intelligence from multiple credible and independent sources.</w:t>
      </w:r>
    </w:p>
    <w:p w14:paraId="310E1D37" w14:textId="77777777" w:rsidR="00F52377" w:rsidRDefault="00F52377" w:rsidP="00F52377">
      <w:pPr>
        <w:pStyle w:val="ListParagraph"/>
        <w:numPr>
          <w:ilvl w:val="0"/>
          <w:numId w:val="4"/>
        </w:numPr>
        <w:rPr>
          <w:sz w:val="20"/>
          <w:szCs w:val="20"/>
        </w:rPr>
      </w:pPr>
      <w:r>
        <w:rPr>
          <w:sz w:val="20"/>
          <w:szCs w:val="20"/>
        </w:rPr>
        <w:lastRenderedPageBreak/>
        <w:t>Senior management, board, regulator, or audit request for assessment.</w:t>
      </w:r>
    </w:p>
    <w:p w14:paraId="61FF57CC" w14:textId="77777777" w:rsidR="00F52377" w:rsidRDefault="00F52377">
      <w:pPr>
        <w:pStyle w:val="Heading2"/>
        <w:rPr>
          <w:rFonts w:cstheme="minorBidi"/>
          <w:kern w:val="0"/>
          <w14:ligatures w14:val="none"/>
        </w:rPr>
      </w:pPr>
      <w:r>
        <w:rPr>
          <w:rFonts w:cstheme="minorBidi"/>
        </w:rPr>
        <w:t>A.5 Governance and Calibration Requirements</w:t>
      </w:r>
    </w:p>
    <w:p w14:paraId="4D117749" w14:textId="77777777" w:rsidR="00F52377" w:rsidRPr="00F52377" w:rsidRDefault="00F52377" w:rsidP="00F52377">
      <w:pPr>
        <w:pStyle w:val="ListParagraph"/>
        <w:numPr>
          <w:ilvl w:val="0"/>
          <w:numId w:val="5"/>
        </w:numPr>
        <w:rPr>
          <w:sz w:val="20"/>
          <w:szCs w:val="20"/>
        </w:rPr>
      </w:pPr>
      <w:r w:rsidRPr="00F52377">
        <w:rPr>
          <w:sz w:val="20"/>
          <w:szCs w:val="20"/>
        </w:rPr>
        <w:t>Weights, thresholds, and override rules must be approved by the relevant CCOR governance forum before production use.</w:t>
      </w:r>
    </w:p>
    <w:p w14:paraId="3219FA32" w14:textId="77777777" w:rsidR="00F52377" w:rsidRDefault="00F52377" w:rsidP="00F52377">
      <w:pPr>
        <w:pStyle w:val="ListParagraph"/>
        <w:numPr>
          <w:ilvl w:val="0"/>
          <w:numId w:val="5"/>
        </w:numPr>
        <w:rPr>
          <w:sz w:val="20"/>
          <w:szCs w:val="20"/>
        </w:rPr>
      </w:pPr>
      <w:r>
        <w:rPr>
          <w:sz w:val="20"/>
          <w:szCs w:val="20"/>
        </w:rPr>
        <w:t>Thresholds should be calibrated during pilot using known historical incidents, external events, RCSA outcomes, issue records, audit findings, and control-testing results.</w:t>
      </w:r>
    </w:p>
    <w:p w14:paraId="29A01F5D" w14:textId="77777777" w:rsidR="00F52377" w:rsidRDefault="00F52377" w:rsidP="00F52377">
      <w:pPr>
        <w:pStyle w:val="ListParagraph"/>
        <w:numPr>
          <w:ilvl w:val="0"/>
          <w:numId w:val="5"/>
        </w:numPr>
        <w:rPr>
          <w:sz w:val="20"/>
          <w:szCs w:val="20"/>
        </w:rPr>
      </w:pPr>
      <w:r>
        <w:rPr>
          <w:sz w:val="20"/>
          <w:szCs w:val="20"/>
        </w:rPr>
        <w:t>False positives, false negatives, analyst overrides, and escalation outcomes should be monitored monthly during pilot and periodically after production.</w:t>
      </w:r>
    </w:p>
    <w:p w14:paraId="7EE00C65" w14:textId="77777777" w:rsidR="00F52377" w:rsidRDefault="00F52377" w:rsidP="00F52377">
      <w:pPr>
        <w:pStyle w:val="ListParagraph"/>
        <w:numPr>
          <w:ilvl w:val="0"/>
          <w:numId w:val="5"/>
        </w:numPr>
        <w:rPr>
          <w:sz w:val="20"/>
          <w:szCs w:val="20"/>
        </w:rPr>
      </w:pPr>
      <w:r>
        <w:rPr>
          <w:sz w:val="20"/>
          <w:szCs w:val="20"/>
        </w:rPr>
        <w:t>Changes to scoring logic, weights, evidence sources, or routing thresholds should follow formal change control with documented rationale and effective date.</w:t>
      </w:r>
    </w:p>
    <w:p w14:paraId="7448882F" w14:textId="77777777" w:rsidR="00F52377" w:rsidRDefault="00F52377" w:rsidP="00F52377">
      <w:pPr>
        <w:pStyle w:val="ListParagraph"/>
        <w:numPr>
          <w:ilvl w:val="0"/>
          <w:numId w:val="5"/>
        </w:numPr>
        <w:rPr>
          <w:sz w:val="20"/>
          <w:szCs w:val="20"/>
        </w:rPr>
      </w:pPr>
      <w:r>
        <w:rPr>
          <w:sz w:val="20"/>
          <w:szCs w:val="20"/>
        </w:rPr>
        <w:t>No material CCOR, regulatory, customer, conduct, or operational action should be triggered solely by the composite score without human review and documented decision rationale.</w:t>
      </w:r>
    </w:p>
    <w:p w14:paraId="0DF3A396" w14:textId="77777777" w:rsidR="00F52377" w:rsidRDefault="00F52377"/>
    <w:sectPr w:rsidR="00F523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6C06EF"/>
    <w:multiLevelType w:val="multilevel"/>
    <w:tmpl w:val="521C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B71CB1"/>
    <w:multiLevelType w:val="multilevel"/>
    <w:tmpl w:val="E5A6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32C0B"/>
    <w:multiLevelType w:val="multilevel"/>
    <w:tmpl w:val="D2EE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D02154"/>
    <w:multiLevelType w:val="multilevel"/>
    <w:tmpl w:val="9EEA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B605AE"/>
    <w:multiLevelType w:val="multilevel"/>
    <w:tmpl w:val="1214C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0580308">
    <w:abstractNumId w:val="0"/>
  </w:num>
  <w:num w:numId="2" w16cid:durableId="565334988">
    <w:abstractNumId w:val="4"/>
  </w:num>
  <w:num w:numId="3" w16cid:durableId="10644979">
    <w:abstractNumId w:val="2"/>
  </w:num>
  <w:num w:numId="4" w16cid:durableId="1724985694">
    <w:abstractNumId w:val="1"/>
  </w:num>
  <w:num w:numId="5" w16cid:durableId="669871143">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26A"/>
    <w:rsid w:val="001417EB"/>
    <w:rsid w:val="001A04CC"/>
    <w:rsid w:val="001F5FBE"/>
    <w:rsid w:val="002F6C54"/>
    <w:rsid w:val="004E226A"/>
    <w:rsid w:val="00791C23"/>
    <w:rsid w:val="007A486D"/>
    <w:rsid w:val="00884D91"/>
    <w:rsid w:val="00E77F88"/>
    <w:rsid w:val="00EE08DB"/>
    <w:rsid w:val="00EE35F8"/>
    <w:rsid w:val="00F52377"/>
    <w:rsid w:val="00FA59E9"/>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36741"/>
  <w15:chartTrackingRefBased/>
  <w15:docId w15:val="{CAB2727E-90EC-8049-91E4-C6B2EE0AC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2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22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22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22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22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22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2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2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2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2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22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22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22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22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22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2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2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26A"/>
    <w:rPr>
      <w:rFonts w:eastAsiaTheme="majorEastAsia" w:cstheme="majorBidi"/>
      <w:color w:val="272727" w:themeColor="text1" w:themeTint="D8"/>
    </w:rPr>
  </w:style>
  <w:style w:type="paragraph" w:styleId="Title">
    <w:name w:val="Title"/>
    <w:basedOn w:val="Normal"/>
    <w:next w:val="Normal"/>
    <w:link w:val="TitleChar"/>
    <w:uiPriority w:val="10"/>
    <w:qFormat/>
    <w:rsid w:val="004E22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2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2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2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26A"/>
    <w:pPr>
      <w:spacing w:before="160"/>
      <w:jc w:val="center"/>
    </w:pPr>
    <w:rPr>
      <w:i/>
      <w:iCs/>
      <w:color w:val="404040" w:themeColor="text1" w:themeTint="BF"/>
    </w:rPr>
  </w:style>
  <w:style w:type="character" w:customStyle="1" w:styleId="QuoteChar">
    <w:name w:val="Quote Char"/>
    <w:basedOn w:val="DefaultParagraphFont"/>
    <w:link w:val="Quote"/>
    <w:uiPriority w:val="29"/>
    <w:rsid w:val="004E226A"/>
    <w:rPr>
      <w:i/>
      <w:iCs/>
      <w:color w:val="404040" w:themeColor="text1" w:themeTint="BF"/>
    </w:rPr>
  </w:style>
  <w:style w:type="paragraph" w:styleId="ListParagraph">
    <w:name w:val="List Paragraph"/>
    <w:basedOn w:val="Normal"/>
    <w:uiPriority w:val="34"/>
    <w:qFormat/>
    <w:rsid w:val="004E226A"/>
    <w:pPr>
      <w:ind w:left="720"/>
      <w:contextualSpacing/>
    </w:pPr>
  </w:style>
  <w:style w:type="character" w:styleId="IntenseEmphasis">
    <w:name w:val="Intense Emphasis"/>
    <w:basedOn w:val="DefaultParagraphFont"/>
    <w:uiPriority w:val="21"/>
    <w:qFormat/>
    <w:rsid w:val="004E226A"/>
    <w:rPr>
      <w:i/>
      <w:iCs/>
      <w:color w:val="0F4761" w:themeColor="accent1" w:themeShade="BF"/>
    </w:rPr>
  </w:style>
  <w:style w:type="paragraph" w:styleId="IntenseQuote">
    <w:name w:val="Intense Quote"/>
    <w:basedOn w:val="Normal"/>
    <w:next w:val="Normal"/>
    <w:link w:val="IntenseQuoteChar"/>
    <w:uiPriority w:val="30"/>
    <w:qFormat/>
    <w:rsid w:val="004E22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226A"/>
    <w:rPr>
      <w:i/>
      <w:iCs/>
      <w:color w:val="0F4761" w:themeColor="accent1" w:themeShade="BF"/>
    </w:rPr>
  </w:style>
  <w:style w:type="character" w:styleId="IntenseReference">
    <w:name w:val="Intense Reference"/>
    <w:basedOn w:val="DefaultParagraphFont"/>
    <w:uiPriority w:val="32"/>
    <w:qFormat/>
    <w:rsid w:val="004E226A"/>
    <w:rPr>
      <w:b/>
      <w:bCs/>
      <w:smallCaps/>
      <w:color w:val="0F4761" w:themeColor="accent1" w:themeShade="BF"/>
      <w:spacing w:val="5"/>
    </w:rPr>
  </w:style>
  <w:style w:type="paragraph" w:styleId="NormalWeb">
    <w:name w:val="Normal (Web)"/>
    <w:basedOn w:val="Normal"/>
    <w:uiPriority w:val="99"/>
    <w:semiHidden/>
    <w:unhideWhenUsed/>
    <w:rsid w:val="004E226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E226A"/>
    <w:rPr>
      <w:b/>
      <w:bCs/>
    </w:rPr>
  </w:style>
  <w:style w:type="paragraph" w:styleId="HTMLPreformatted">
    <w:name w:val="HTML Preformatted"/>
    <w:basedOn w:val="Normal"/>
    <w:link w:val="HTMLPreformattedChar"/>
    <w:uiPriority w:val="99"/>
    <w:semiHidden/>
    <w:unhideWhenUsed/>
    <w:rsid w:val="004E2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E226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E226A"/>
    <w:rPr>
      <w:rFonts w:ascii="Courier New" w:eastAsia="Times New Roman" w:hAnsi="Courier New" w:cs="Courier New"/>
      <w:sz w:val="20"/>
      <w:szCs w:val="20"/>
    </w:rPr>
  </w:style>
  <w:style w:type="character" w:customStyle="1" w:styleId="z">
    <w:name w:val="ͼz"/>
    <w:basedOn w:val="DefaultParagraphFont"/>
    <w:rsid w:val="004E226A"/>
  </w:style>
  <w:style w:type="character" w:styleId="BookTitle">
    <w:name w:val="Book Title"/>
    <w:basedOn w:val="DefaultParagraphFont"/>
    <w:uiPriority w:val="33"/>
    <w:qFormat/>
    <w:rsid w:val="004E226A"/>
    <w:rPr>
      <w:b/>
      <w:bCs/>
      <w:i/>
      <w:iCs/>
      <w:spacing w:val="5"/>
    </w:rPr>
  </w:style>
  <w:style w:type="paragraph" w:styleId="Caption">
    <w:name w:val="caption"/>
    <w:basedOn w:val="Normal"/>
    <w:next w:val="Normal"/>
    <w:uiPriority w:val="35"/>
    <w:semiHidden/>
    <w:unhideWhenUsed/>
    <w:qFormat/>
    <w:rsid w:val="004E226A"/>
    <w:pPr>
      <w:spacing w:after="200" w:line="240" w:lineRule="auto"/>
    </w:pPr>
    <w:rPr>
      <w:i/>
      <w:iCs/>
      <w:color w:val="0E2841" w:themeColor="text2"/>
      <w:sz w:val="18"/>
      <w:szCs w:val="18"/>
    </w:rPr>
  </w:style>
  <w:style w:type="character" w:styleId="Emphasis">
    <w:name w:val="Emphasis"/>
    <w:basedOn w:val="DefaultParagraphFont"/>
    <w:uiPriority w:val="20"/>
    <w:qFormat/>
    <w:rsid w:val="004E226A"/>
    <w:rPr>
      <w:i/>
      <w:iCs/>
    </w:rPr>
  </w:style>
  <w:style w:type="paragraph" w:styleId="NoSpacing">
    <w:name w:val="No Spacing"/>
    <w:uiPriority w:val="1"/>
    <w:qFormat/>
    <w:rsid w:val="004E226A"/>
    <w:pPr>
      <w:spacing w:after="0" w:line="240" w:lineRule="auto"/>
    </w:pPr>
  </w:style>
  <w:style w:type="character" w:styleId="SubtleEmphasis">
    <w:name w:val="Subtle Emphasis"/>
    <w:basedOn w:val="DefaultParagraphFont"/>
    <w:uiPriority w:val="19"/>
    <w:qFormat/>
    <w:rsid w:val="004E226A"/>
    <w:rPr>
      <w:i/>
      <w:iCs/>
      <w:color w:val="404040" w:themeColor="text1" w:themeTint="BF"/>
    </w:rPr>
  </w:style>
  <w:style w:type="character" w:styleId="SubtleReference">
    <w:name w:val="Subtle Reference"/>
    <w:basedOn w:val="DefaultParagraphFont"/>
    <w:uiPriority w:val="31"/>
    <w:qFormat/>
    <w:rsid w:val="004E226A"/>
    <w:rPr>
      <w:smallCaps/>
      <w:color w:val="5A5A5A" w:themeColor="text1" w:themeTint="A5"/>
    </w:rPr>
  </w:style>
  <w:style w:type="paragraph" w:styleId="TOCHeading">
    <w:name w:val="TOC Heading"/>
    <w:basedOn w:val="Heading1"/>
    <w:next w:val="Normal"/>
    <w:uiPriority w:val="39"/>
    <w:semiHidden/>
    <w:unhideWhenUsed/>
    <w:qFormat/>
    <w:rsid w:val="004E226A"/>
    <w:pPr>
      <w:spacing w:before="240" w:after="0"/>
      <w:outlineLvl w:val="9"/>
    </w:pPr>
    <w:rPr>
      <w:sz w:val="32"/>
      <w:szCs w:val="32"/>
    </w:rPr>
  </w:style>
  <w:style w:type="table" w:styleId="GridTable4-Accent1">
    <w:name w:val="Grid Table 4 Accent 1"/>
    <w:basedOn w:val="TableNormal"/>
    <w:uiPriority w:val="49"/>
    <w:rsid w:val="002F6C5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7</Pages>
  <Words>1716</Words>
  <Characters>11741</Characters>
  <Application>Microsoft Office Word</Application>
  <DocSecurity>0</DocSecurity>
  <Lines>301</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sridhar reddy</dc:creator>
  <cp:keywords/>
  <dc:description/>
  <cp:lastModifiedBy>sridhar reddy</cp:lastModifiedBy>
  <cp:revision>3</cp:revision>
  <dcterms:created xsi:type="dcterms:W3CDTF">2026-08-09T14:47:00Z</dcterms:created>
  <dcterms:modified xsi:type="dcterms:W3CDTF">2026-08-09T16:02:00Z</dcterms:modified>
</cp:coreProperties>
</file>