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Highlights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UCDI turns calibrated AI probabilities into an automate-or-defer decision rule.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Deferring 20% of credit cases routes 42.9% of model errors to human review.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Uncertainty-guided deferral gives a 2.15× lift over random review (p &lt; 0.001).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Better calibration error did not imply better deferral quality across models.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Leakage-free protocol, ten-split robustness and open code support reuse.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2026-10-24T16:13:13.495Z</dcterms:created>
  <dcterms:modified xsi:type="dcterms:W3CDTF">2026-10-24T16:13:13.495Z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