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4"/>
        </w:rPr>
        <w:t>NIL Ready — Leadership Demo Script</w:t>
      </w:r>
    </w:p>
    <w:p>
      <w:r>
        <w:rPr>
          <w:i/>
          <w:color w:val="555555"/>
          <w:sz w:val="24"/>
        </w:rPr>
        <w:t>Target: 5 minutes of walkthrough, leaving 5–7 minutes for Q&amp;A</w:t>
      </w:r>
    </w:p>
    <w:p/>
    <w:p>
      <w:r>
        <w:rPr>
          <w:b/>
          <w:color w:val="1F4E42"/>
          <w:sz w:val="28"/>
        </w:rPr>
        <w:t>Before you start</w:t>
      </w:r>
    </w:p>
    <w:p>
      <w:pPr>
        <w:pStyle w:val="ListBullet"/>
      </w:pPr>
      <w:r>
        <w:t>Reset the demo first (the “Reset Demo” button, bottom of the left nav). This clears Jordan back to the seeded state: readiness incomplete, 1 of 3 documents uploaded, no saved scenario.</w:t>
      </w:r>
    </w:p>
    <w:p>
      <w:pPr>
        <w:pStyle w:val="ListBullet"/>
      </w:pPr>
      <w:r>
        <w:t>Practice the persona-switch clicks once beforehand (top right dropdown: Student-Athlete / Athletic Department Admin) so they're not fumbling moments live.</w:t>
      </w:r>
    </w:p>
    <w:p>
      <w:pPr>
        <w:pStyle w:val="ListBullet"/>
      </w:pPr>
      <w:r>
        <w:t>Bold dark-green lines below are grounding moments: they tie what's on screen back to your own Research Journey &amp; Solution Q&amp;A doc, almost word for word. Say them — they are what proves this wasn't built off in a vacuum.</w:t>
      </w:r>
    </w:p>
    <w:p>
      <w:pPr>
        <w:pStyle w:val="ListBullet"/>
      </w:pPr>
      <w:r>
        <w:t>If you're running long, the safest cuts, in order: (1) skip the per-payment breakdown scroll in the scenario, just say the number, (2) shorten the Learn/Resources/Updates fly-by to naming them with no extra sentence. Keep every bold grounding line — cut length elsewhere first.</w:t>
      </w:r>
    </w:p>
    <w:p>
      <w:r>
        <w:rPr>
          <w:b/>
          <w:color w:val="1F4E42"/>
          <w:sz w:val="28"/>
        </w:rPr>
        <w:t>Opening — set the frame</w:t>
      </w:r>
    </w:p>
    <w:p>
      <w:r>
        <w:rPr>
          <w:i/>
          <w:color w:val="7A7A7A"/>
          <w:sz w:val="20"/>
        </w:rPr>
        <w:t>0:00–0:20</w:t>
      </w:r>
    </w:p>
    <w:p>
      <w:pPr>
        <w:spacing w:after="200"/>
      </w:pPr>
      <w:r>
        <w:rPr>
          <w:sz w:val="24"/>
        </w:rPr>
        <w:t>“Before we begin — this prototype is shown mainly through the day-to-day view of Jordan, a student-athlete. We chose this view because it shows best how the solution works in practice — planning a real deal, getting guidance, asking a question.</w:t>
      </w:r>
    </w:p>
    <w:p>
      <w:pPr>
        <w:spacing w:after="200"/>
      </w:pPr>
      <w:r>
        <w:rPr>
          <w:sz w:val="24"/>
        </w:rPr>
        <w:t>The solution also supports an Athletic Department Admin persona, working from that exact same underlying data, and I'll bring that view in too, since it's what closes the loop.</w:t>
      </w:r>
    </w:p>
    <w:p>
      <w:pPr>
        <w:spacing w:after="200"/>
      </w:pPr>
      <w:r>
        <w:rPr>
          <w:b/>
          <w:color w:val="1F4E42"/>
          <w:sz w:val="24"/>
        </w:rPr>
        <w:t>Everything I'm about to show maps directly to the MVP use cases and the scope boundaries from our own Research Journey and Solution Q&amp;A — I'll call that out as we go, so you can see exactly where it lines up. It's a clickable prototype — fictional school, fictional athlete, no real backend.”</w:t>
      </w:r>
    </w:p>
    <w:p>
      <w:r>
        <w:rPr>
          <w:b/>
          <w:color w:val="1F4E42"/>
          <w:sz w:val="28"/>
        </w:rPr>
        <w:t>Jordan's Home</w:t>
      </w:r>
    </w:p>
    <w:p>
      <w:r>
        <w:rPr>
          <w:i/>
          <w:color w:val="7A7A7A"/>
          <w:sz w:val="20"/>
        </w:rPr>
        <w:t>0:20–0:50</w:t>
      </w:r>
    </w:p>
    <w:p>
      <w:r>
        <w:rPr>
          <w:i/>
          <w:color w:val="3E7C74"/>
          <w:sz w:val="21"/>
        </w:rPr>
        <w:t>[Screen: Athlete Home]</w:t>
      </w:r>
    </w:p>
    <w:p>
      <w:pPr>
        <w:spacing w:after="200"/>
      </w:pPr>
      <w:r>
        <w:rPr>
          <w:sz w:val="24"/>
        </w:rPr>
        <w:t>“This is Jordan's front door. Not a dashboard, a to-do list: finish your readiness check, here's a document you're still missing, here's a scenario you started and haven't finished. Below that, always-on reminders, and quick actions to message the office or report a new deal.</w:t>
      </w:r>
    </w:p>
    <w:p>
      <w:pPr>
        <w:spacing w:after="200"/>
      </w:pPr>
      <w:r>
        <w:rPr>
          <w:sz w:val="24"/>
        </w:rPr>
        <w:t>The design intent: an 18-to-22-year-old opens this and knows exactly what to do next.”</w:t>
      </w:r>
    </w:p>
    <w:p>
      <w:r>
        <w:rPr>
          <w:b/>
          <w:color w:val="1F4E42"/>
          <w:sz w:val="28"/>
        </w:rPr>
        <w:t>Admin's Home</w:t>
      </w:r>
    </w:p>
    <w:p>
      <w:r>
        <w:rPr>
          <w:i/>
          <w:color w:val="7A7A7A"/>
          <w:sz w:val="20"/>
        </w:rPr>
        <w:t>0:50–1:20</w:t>
      </w:r>
    </w:p>
    <w:p>
      <w:r>
        <w:rPr>
          <w:i/>
          <w:color w:val="3E7C74"/>
          <w:sz w:val="21"/>
        </w:rPr>
        <w:t>[Switch persona: Athletic Department Admin]</w:t>
      </w:r>
    </w:p>
    <w:p>
      <w:pPr>
        <w:spacing w:after="200"/>
      </w:pPr>
      <w:r>
        <w:rPr>
          <w:sz w:val="24"/>
        </w:rPr>
        <w:t>“Same idea, other side. The department opens on a to-do queue too — real things that need a human: a missing form, a question that came in, something escalated. Below that, program-level numbers — how ready athletes are, how many documents are in, how many deals have been reported. All aggregate. What you will never see here is any one athlete's private plan.</w:t>
      </w:r>
    </w:p>
    <w:p>
      <w:pPr>
        <w:spacing w:after="200"/>
      </w:pPr>
      <w:r>
        <w:rPr>
          <w:b/>
          <w:color w:val="1F4E42"/>
          <w:sz w:val="24"/>
        </w:rPr>
        <w:t>That boundary isn't something we added out of caution — it's exactly what our own Q&amp;A doc called for: 'greater visibility into athlete-support needs,' not a window into everyone's finances. We built the boundary we ourselves scoped.”</w:t>
      </w:r>
    </w:p>
    <w:p>
      <w:r>
        <w:rPr>
          <w:b/>
          <w:color w:val="1F4E42"/>
          <w:sz w:val="28"/>
        </w:rPr>
        <w:t>The scenario — the core of the story</w:t>
      </w:r>
    </w:p>
    <w:p>
      <w:r>
        <w:rPr>
          <w:i/>
          <w:color w:val="7A7A7A"/>
          <w:sz w:val="20"/>
        </w:rPr>
        <w:t>1:20–3:50</w:t>
      </w:r>
    </w:p>
    <w:p>
      <w:r>
        <w:rPr>
          <w:i/>
          <w:color w:val="3E7C74"/>
          <w:sz w:val="21"/>
        </w:rPr>
        <w:t>[Switch persona back: Student-Athlete → Plan]</w:t>
      </w:r>
    </w:p>
    <w:p>
      <w:pPr>
        <w:spacing w:after="200"/>
      </w:pPr>
      <w:r>
        <w:rPr>
          <w:sz w:val="24"/>
        </w:rPr>
        <w:t>“Now let's make this real. Jordan already earns $20,000 a year in university compensation, and just got offered a new deal — a local apparel brand, $12,000, three payments. Jordan drops it in.”</w:t>
      </w:r>
    </w:p>
    <w:p>
      <w:r>
        <w:rPr>
          <w:i/>
          <w:color w:val="3E7C74"/>
          <w:sz w:val="21"/>
        </w:rPr>
        <w:t>[Enter/confirm: “Local Apparel Partnership”, $12,000, 3 payments, source: Third-party NIL deal]</w:t>
      </w:r>
    </w:p>
    <w:p>
      <w:pPr>
        <w:spacing w:after="200"/>
      </w:pPr>
      <w:r>
        <w:rPr>
          <w:sz w:val="24"/>
        </w:rPr>
        <w:t>“Two things happen immediately. First, income by source, not one blended number — $20,000 university, $12,000 this deal, $32,000 total. That distinction matters, because a university paycheck and a third-party deal get treated differently from here on.</w:t>
      </w:r>
    </w:p>
    <w:p>
      <w:pPr>
        <w:spacing w:after="200"/>
      </w:pPr>
      <w:r>
        <w:rPr>
          <w:sz w:val="24"/>
        </w:rPr>
        <w:t>Second, the planning reserve — 20 percent, our default. Not tax advice, just 'set this aside so you're not caught flat-footed.' On this deal that's $2,400 held back, some into savings, and about $7,680 that's actually Jordan's to spend. It even breaks that down per payment, so there's no surprise when the money lands.</w:t>
      </w:r>
    </w:p>
    <w:p>
      <w:pPr>
        <w:spacing w:after="200"/>
      </w:pPr>
      <w:r>
        <w:rPr>
          <w:sz w:val="24"/>
        </w:rPr>
        <w:t>Right below that — 'Your next steps,' tailored to this being a third-party deal: check the university's reporting guidance, a gentle nudge about the W-9, nothing alarmist.</w:t>
      </w:r>
    </w:p>
    <w:p>
      <w:pPr>
        <w:spacing w:after="200"/>
      </w:pPr>
      <w:r>
        <w:rPr>
          <w:b/>
          <w:color w:val="1F4E42"/>
          <w:sz w:val="24"/>
        </w:rPr>
        <w:t>This whole panel — the reserve, the document nudge, the next step — is our own 'financial-readiness education and tax-readiness workflow' use case, one of the six core MVP use cases we wrote down ourselves. Not a new idea, just built.</w:t>
      </w:r>
    </w:p>
    <w:p>
      <w:pPr>
        <w:spacing w:after="200"/>
      </w:pPr>
      <w:r>
        <w:rPr>
          <w:sz w:val="24"/>
        </w:rPr>
        <w:t>Now here's where the two sides connect. Jordan has a question — 'do I owe tax on this?' — and doesn't need to know who to ask.”</w:t>
      </w:r>
    </w:p>
    <w:p>
      <w:r>
        <w:rPr>
          <w:i/>
          <w:color w:val="3E7C74"/>
          <w:sz w:val="21"/>
        </w:rPr>
        <w:t>[Click: Ask the NIL Office → send]</w:t>
      </w:r>
    </w:p>
    <w:p>
      <w:pPr>
        <w:spacing w:after="200"/>
      </w:pPr>
      <w:r>
        <w:rPr>
          <w:sz w:val="24"/>
        </w:rPr>
        <w:t>“That one message just did two things: landed in Jordan's own inbox, and opened a case on the other side.”</w:t>
      </w:r>
    </w:p>
    <w:p>
      <w:r>
        <w:rPr>
          <w:i/>
          <w:color w:val="3E7C74"/>
          <w:sz w:val="21"/>
        </w:rPr>
        <w:t>[Switch persona: Athletic Department Admin → Home]</w:t>
      </w:r>
    </w:p>
    <w:p>
      <w:pPr>
        <w:spacing w:after="200"/>
      </w:pPr>
      <w:r>
        <w:rPr>
          <w:sz w:val="24"/>
        </w:rPr>
        <w:t>“Here it is — in the department's queue, flagged, Jordan's name attached, because this is a conversation they need to see, not private data. They open it —”</w:t>
      </w:r>
    </w:p>
    <w:p>
      <w:r>
        <w:rPr>
          <w:i/>
          <w:color w:val="3E7C74"/>
          <w:sz w:val="21"/>
        </w:rPr>
        <w:t>[Click into case]</w:t>
      </w:r>
    </w:p>
    <w:p>
      <w:pPr>
        <w:spacing w:after="200"/>
      </w:pPr>
      <w:r>
        <w:rPr>
          <w:sz w:val="24"/>
        </w:rPr>
        <w:t>“—and it's already suggesting: this reads as a tax question, escalate to the specialist team. One click.”</w:t>
      </w:r>
    </w:p>
    <w:p>
      <w:r>
        <w:rPr>
          <w:i/>
          <w:color w:val="3E7C74"/>
          <w:sz w:val="21"/>
        </w:rPr>
        <w:t>[Confirm escalation]</w:t>
      </w:r>
    </w:p>
    <w:p>
      <w:r>
        <w:rPr>
          <w:i/>
          <w:color w:val="3E7C74"/>
          <w:sz w:val="21"/>
        </w:rPr>
        <w:t>[Switch back: Student-Athlete → Messages]</w:t>
      </w:r>
    </w:p>
    <w:p>
      <w:pPr>
        <w:spacing w:after="200"/>
      </w:pPr>
      <w:r>
        <w:rPr>
          <w:sz w:val="24"/>
        </w:rPr>
        <w:t>“Back on Jordan's side, no extra work — the status just updated: in progress, handled by the tax team. One plain-English question, routed to the right people automatically.”</w:t>
      </w:r>
    </w:p>
    <w:p>
      <w:pPr>
        <w:spacing w:after="200"/>
      </w:pPr>
      <w:r>
        <w:rPr>
          <w:b/>
          <w:color w:val="1F4E42"/>
          <w:sz w:val="24"/>
        </w:rPr>
        <w:t>That routing you just watched is, word for word, our own 'human case management, routing, escalation, and approved referrals' use case. And notice the system only ever suggests the escalation — a person confirms it. That's the AI guardrail from the same doc: it should never independently make an escalation decision.”</w:t>
      </w:r>
    </w:p>
    <w:p>
      <w:r>
        <w:rPr>
          <w:b/>
          <w:color w:val="1F4E42"/>
          <w:sz w:val="28"/>
        </w:rPr>
        <w:t>The rest of the platform, quickly</w:t>
      </w:r>
    </w:p>
    <w:p>
      <w:r>
        <w:rPr>
          <w:i/>
          <w:color w:val="7A7A7A"/>
          <w:sz w:val="20"/>
        </w:rPr>
        <w:t>3:50–4:35</w:t>
      </w:r>
    </w:p>
    <w:p>
      <w:r>
        <w:rPr>
          <w:i/>
          <w:color w:val="3E7C74"/>
          <w:sz w:val="21"/>
        </w:rPr>
        <w:t>[Click: Learn]</w:t>
      </w:r>
    </w:p>
    <w:p>
      <w:pPr>
        <w:spacing w:after="200"/>
      </w:pPr>
      <w:r>
        <w:rPr>
          <w:sz w:val="24"/>
        </w:rPr>
        <w:t>“Quickly, the rest of what's underneath this. Learn — short articles on budgeting, taxes, NIL basics, and it's aware of Jordan's own readiness gaps, so it recommends what's actually relevant.”</w:t>
      </w:r>
    </w:p>
    <w:p>
      <w:r>
        <w:rPr>
          <w:i/>
          <w:color w:val="3E7C74"/>
          <w:sz w:val="21"/>
        </w:rPr>
        <w:t>[Click: Resources]</w:t>
      </w:r>
    </w:p>
    <w:p>
      <w:pPr>
        <w:spacing w:after="200"/>
      </w:pPr>
      <w:r>
        <w:rPr>
          <w:sz w:val="24"/>
        </w:rPr>
        <w:t>“Resources — a directory the university curates and can target to specific athletes or teams.”</w:t>
      </w:r>
    </w:p>
    <w:p>
      <w:r>
        <w:rPr>
          <w:i/>
          <w:color w:val="3E7C74"/>
          <w:sz w:val="21"/>
        </w:rPr>
        <w:t>[Click: Updates]</w:t>
      </w:r>
    </w:p>
    <w:p>
      <w:pPr>
        <w:spacing w:after="200"/>
      </w:pPr>
      <w:r>
        <w:rPr>
          <w:sz w:val="24"/>
        </w:rPr>
        <w:t>“Updates — official guidance from the university, pushed the same way. All of this can be managed from the admin side too, which we're happy to dig into separately.”</w:t>
      </w:r>
    </w:p>
    <w:p>
      <w:r>
        <w:rPr>
          <w:b/>
          <w:color w:val="1F4E42"/>
          <w:sz w:val="28"/>
        </w:rPr>
        <w:t>Close</w:t>
      </w:r>
    </w:p>
    <w:p>
      <w:r>
        <w:rPr>
          <w:i/>
          <w:color w:val="7A7A7A"/>
          <w:sz w:val="20"/>
        </w:rPr>
        <w:t>4:35–5:00</w:t>
      </w:r>
    </w:p>
    <w:p>
      <w:r>
        <w:rPr>
          <w:i/>
          <w:color w:val="3E7C74"/>
          <w:sz w:val="21"/>
        </w:rPr>
        <w:t>[Return to Athlete Home]</w:t>
      </w:r>
    </w:p>
    <w:p>
      <w:pPr>
        <w:spacing w:after="200"/>
      </w:pPr>
      <w:r>
        <w:rPr>
          <w:sz w:val="24"/>
        </w:rPr>
        <w:t>“So — the whole loop: Jordan plans a real deal, knows what to set aside and what's actually spendable, gets guidance suited to how the deal is structured, and if there's a question, it reaches the right team without Jordan ever needing to know the org chart. The department sees it happened and got handled, never the numbers behind it.</w:t>
      </w:r>
    </w:p>
    <w:p>
      <w:pPr>
        <w:spacing w:after="200"/>
      </w:pPr>
      <w:r>
        <w:rPr>
          <w:b/>
          <w:color w:val="1F4E42"/>
          <w:sz w:val="24"/>
        </w:rPr>
        <w:t>Every piece you just saw maps to a named MVP use case in our own scoping work — readiness and enrollment, financial education, document and tax-readiness workflows, human case management and escalation, and university-level reporting. And everything it refuses to do — filing taxes, giving advice, processing payments, negotiating deals — is exactly the boundary we already drew for ourselves. We didn't invent new scope here. We built what we scoped.</w:t>
      </w:r>
    </w:p>
    <w:p>
      <w:pPr>
        <w:spacing w:after="200"/>
      </w:pPr>
      <w:r>
        <w:rPr>
          <w:sz w:val="24"/>
        </w:rPr>
        <w:t>That's the bet: readiness for the athlete, visibility for the department, a support loop connecting them. Everything here works today as a prototype. Happy to take questions.”</w:t>
      </w:r>
    </w:p>
    <w:p/>
    <w:p>
      <w:r>
        <w:rPr>
          <w:b/>
          <w:color w:val="1F4E42"/>
          <w:sz w:val="28"/>
        </w:rPr>
        <w:t>Likely Q&amp;A, short answers</w:t>
      </w:r>
    </w:p>
    <w:p>
      <w:pPr>
        <w:pStyle w:val="ListBullet"/>
      </w:pPr>
      <w:r>
        <w:t>Is this connected to real payroll or tax systems? — No. Everything is simulated with fixed rules, on fictional data. No calls to any external system.</w:t>
      </w:r>
    </w:p>
    <w:p>
      <w:pPr>
        <w:pStyle w:val="ListBullet"/>
      </w:pPr>
      <w:r>
        <w:t>What about state-by-state tax differences? — Out of scope by design. The platform never files or advises on taxes; it flags the question and routes it to a human specialist.</w:t>
      </w:r>
    </w:p>
    <w:p>
      <w:pPr>
        <w:pStyle w:val="ListBullet"/>
      </w:pPr>
      <w:r>
        <w:t>Can the university brand and configure this? — Yes, name, colors, and which modules are on or off are all admin-configurable.</w:t>
      </w:r>
    </w:p>
    <w:p>
      <w:pPr>
        <w:pStyle w:val="ListBullet"/>
      </w:pPr>
      <w:r>
        <w:t>What would it take to make this real? — A real backend, integration with the university's existing systems, and a decision on who staffs the support/tax queue day to day.</w:t>
      </w:r>
    </w:p>
    <w:p>
      <w:pPr>
        <w:pStyle w:val="ListBullet"/>
      </w:pPr>
      <w:r>
        <w:t>How does this relate to what's in the Q&amp;A doc as 'out of scope'? — Directly: no wealth management, no payment processing, no contract negotiation, no autonomous tax positions anywhere in this build. The demo respects every boundary in that doc.</w:t>
      </w:r>
    </w:p>
    <w:p>
      <w:pPr>
        <w:pStyle w:val="ListBullet"/>
      </w:pPr>
      <w:r>
        <w:t>Is any of this real AI? — No live model calls; every response is simulated with fixed rules on this data, matching the doc's own guardrail that AI should assist (document reading, categorization) but never independently decide.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