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282728"/>
        </w:rPr>
        <w:t xml:space="preserve">The Deliverable. 10-Minute Talk Track</w:t>
      </w:r>
    </w:p>
    <w:p>
      <w:pPr>
        <w:spacing w:after="180" w:line="300"/>
      </w:pPr>
      <w:r>
        <w:rPr>
          <w:b/>
          <w:bCs/>
          <w:sz w:val="22"/>
          <w:szCs w:val="22"/>
        </w:rPr>
        <w:t xml:space="preserve">Pacing guide.</w:t>
      </w:r>
      <w:r>
        <w:rPr>
          <w:sz w:val="22"/>
          <w:szCs w:val="22"/>
        </w:rPr>
        <w:t xml:space="preserve"> Opening about 1 minute. Five P1s in depth, 6 to 7 minutes. P2 through P4 overview, about 2 minutes. Close, about 45 seconds.</w:t>
      </w:r>
    </w:p>
    <w:p>
      <w:pPr>
        <w:spacing w:after="180" w:line="300"/>
      </w:pPr>
      <w:r>
        <w:rPr>
          <w:sz w:val="22"/>
          <w:szCs w:val="22"/>
        </w:rPr>
        <w:t xml:space="preserve">This is written to be read the way you would actually say it, not as bullet fragments. Skim it once before the call, then speak from memory using the bold numbers as anchors.</w:t>
      </w:r>
    </w:p>
    <w:p>
      <w:pPr>
        <w:pBdr>
          <w:bottom w:val="single" w:color="BFBFBF" w:sz="6"/>
        </w:pBdr>
        <w:spacing w:after="200" w:before="200"/>
      </w:pPr>
    </w:p>
    <w:p>
      <w:pPr>
        <w:pStyle w:val="Heading1"/>
        <w:spacing w:after="120" w:before="120"/>
      </w:pPr>
      <w:r>
        <w:rPr>
          <w:b/>
          <w:bCs/>
          <w:color w:val="6A9A23"/>
        </w:rPr>
        <w:t xml:space="preserve">Opening (about 1 minute)</w:t>
      </w:r>
    </w:p>
    <w:p>
      <w:pPr>
        <w:spacing w:after="180" w:line="300"/>
      </w:pPr>
      <w:r>
        <w:rPr>
          <w:sz w:val="22"/>
          <w:szCs w:val="22"/>
        </w:rPr>
        <w:t xml:space="preserve">Let me walk you through what the research actually points to. Twenty four areas where Deloitte's existing quantitative and model risk skillset could extend into markets we are not really serving today. We looked at this through five different angles, how competitors are positioned, what startups in India and the US are building, what our own team is already good at, and what our existing clients might also need. Where more than one of those angles pointed at the same opportunity independently, that is where our confidence is highest.</w:t>
      </w:r>
    </w:p>
    <w:p>
      <w:pPr>
        <w:spacing w:after="180" w:line="300"/>
      </w:pPr>
      <w:r>
        <w:rPr>
          <w:sz w:val="22"/>
          <w:szCs w:val="22"/>
        </w:rPr>
        <w:t xml:space="preserve">We grouped everything into four tiers based on how much new investment each one would likely need. I want to spend most of today on the top tier, the five P1 areas, since our research suggests these are the ones closest to what MRM could already deliver. I will move faster through the other nineteen after that.</w:t>
      </w:r>
    </w:p>
    <w:p>
      <w:pPr>
        <w:pBdr>
          <w:bottom w:val="single" w:color="BFBFBF" w:sz="6"/>
        </w:pBdr>
        <w:spacing w:after="200" w:before="200"/>
      </w:pPr>
    </w:p>
    <w:p>
      <w:pPr>
        <w:pStyle w:val="Heading1"/>
        <w:spacing w:after="120" w:before="120"/>
      </w:pPr>
      <w:r>
        <w:rPr>
          <w:b/>
          <w:bCs/>
          <w:color w:val="6A9A23"/>
        </w:rPr>
        <w:t xml:space="preserve">Part 1. The five P1s, in depth (6 to 7 minutes)</w:t>
      </w:r>
    </w:p>
    <w:p>
      <w:pPr>
        <w:pStyle w:val="Heading2"/>
        <w:spacing w:after="100" w:before="160"/>
      </w:pPr>
      <w:r>
        <w:rPr>
          <w:b/>
          <w:bCs/>
          <w:color w:val="282728"/>
        </w:rPr>
        <w:t xml:space="preserve">1. Cyber Risk Quantification</w:t>
      </w:r>
    </w:p>
    <w:p>
      <w:pPr>
        <w:spacing w:after="180" w:line="300"/>
      </w:pPr>
      <w:r>
        <w:rPr>
          <w:sz w:val="22"/>
          <w:szCs w:val="22"/>
        </w:rPr>
        <w:t xml:space="preserve">First, cyber risk quantification. Our research pointed to a growing need across industries to put a number on cyber risk that a board can actually act on, and regulators like the SEC and DORA appear to be moving in that direction too. Estimates put this market somewhere between </w:t>
      </w:r>
      <w:r>
        <w:rPr>
          <w:b/>
          <w:bCs/>
          <w:sz w:val="22"/>
          <w:szCs w:val="22"/>
        </w:rPr>
        <w:t xml:space="preserve">$5.4 billion and $18 billion</w:t>
      </w:r>
      <w:r>
        <w:rPr>
          <w:sz w:val="22"/>
          <w:szCs w:val="22"/>
        </w:rPr>
        <w:t xml:space="preserve"> depending on how things play out over the next few years.</w:t>
      </w:r>
    </w:p>
    <w:p>
      <w:pPr>
        <w:spacing w:after="180" w:line="300"/>
      </w:pPr>
      <w:r>
        <w:rPr>
          <w:sz w:val="22"/>
          <w:szCs w:val="22"/>
        </w:rPr>
        <w:t xml:space="preserve">Firms like Protiviti, Safe Security, RiskLens, and Kroll are already active here, which tells us the demand is real. A good part of the underlying modeling work looks similar to what our MRM team already does for operational risk, essentially turning an uncertain event into a range of possible financial outcomes. From what we could tell, the additional pieces would be a specific industry certification and access to cyber threat data, both of which seem learnable rather than out of reach.</w:t>
      </w:r>
    </w:p>
    <w:p>
      <w:pPr>
        <w:spacing w:after="180" w:line="300"/>
      </w:pPr>
      <w:r>
        <w:rPr>
          <w:sz w:val="22"/>
          <w:szCs w:val="22"/>
        </w:rPr>
        <w:t xml:space="preserve">This one is also not limited to banks. It could apply to any sector with a Chief Information Security Officer, tech, healthcare, manufacturing, government, which is part of why our research flagged it as a bigger opportunity than most other items on this list. As boards face more pressure to disclose cyber exposure in financial terms, this is likely to become less optional over time. That said, we would want to validate the specifics with the cyber team directly before going further, since this touches their space more than ours.</w:t>
      </w:r>
    </w:p>
    <w:p>
      <w:pPr>
        <w:pStyle w:val="Heading2"/>
        <w:spacing w:after="100" w:before="160"/>
      </w:pPr>
      <w:r>
        <w:rPr>
          <w:b/>
          <w:bCs/>
          <w:color w:val="282728"/>
        </w:rPr>
        <w:t xml:space="preserve">2. Quant Investment Research and Portfolio Analytics</w:t>
      </w:r>
    </w:p>
    <w:p>
      <w:pPr>
        <w:spacing w:after="180" w:line="300"/>
      </w:pPr>
      <w:r>
        <w:rPr>
          <w:i/>
          <w:iCs/>
          <w:color w:val="595959"/>
          <w:sz w:val="22"/>
          <w:szCs w:val="22"/>
        </w:rPr>
        <w:t xml:space="preserve">Note to self. Slow down here.</w:t>
      </w:r>
    </w:p>
    <w:p>
      <w:pPr>
        <w:spacing w:after="180" w:line="300"/>
      </w:pPr>
      <w:r>
        <w:rPr>
          <w:sz w:val="22"/>
          <w:szCs w:val="22"/>
        </w:rPr>
        <w:t xml:space="preserve">Second, quant investment research and portfolio analytics. Our research suggests this is genuinely new territory for Deloitte, a market we estimated at around </w:t>
      </w:r>
      <w:r>
        <w:rPr>
          <w:b/>
          <w:bCs/>
          <w:sz w:val="22"/>
          <w:szCs w:val="22"/>
        </w:rPr>
        <w:t xml:space="preserve">$12 billion</w:t>
      </w:r>
      <w:r>
        <w:rPr>
          <w:sz w:val="22"/>
          <w:szCs w:val="22"/>
        </w:rPr>
        <w:t xml:space="preserve">, where asset managers and hedge funds need factor models, backtesting, and portfolio construction support. Today a lot of that work goes to firms like CRISIL Integral IQ, Evalueserve, Acuity KP, SG Analytics, or Aranca.</w:t>
      </w:r>
    </w:p>
    <w:p>
      <w:pPr>
        <w:spacing w:after="180" w:line="300"/>
      </w:pPr>
      <w:r>
        <w:rPr>
          <w:sz w:val="22"/>
          <w:szCs w:val="22"/>
        </w:rPr>
        <w:t xml:space="preserve">What stood out to us here is an advantage most firms on that competitor list would not have. Deloitte already audits a large number of these same asset managers. That relationship already exists, which is not something we would need to build from scratch. Our research also suggested that asset managers care a lot about the credibility of the research they rely on, and Deloitte's brand carries weight there. The additional pieces would mainly be data access, tools like Bloomberg or FactSet, and some familiarity with a couple of industry standard risk models. None of that felt like a major stretch given the statistical and analytical work our team already does.</w:t>
      </w:r>
    </w:p>
    <w:p>
      <w:pPr>
        <w:spacing w:after="180" w:line="300"/>
      </w:pPr>
      <w:r>
        <w:rPr>
          <w:sz w:val="22"/>
          <w:szCs w:val="22"/>
        </w:rPr>
        <w:t xml:space="preserve">When we walked leadership through this one, this is the slide people leaned into. Out of everything in this deck, this got the strongest reaction in the room. A few people specifically pointed out that this did not require convincing a new client to trust Deloitte with something unfamiliar, since the relationship and the trust were already there. If there is one area worth remembering from today, this is probably it.</w:t>
      </w:r>
    </w:p>
    <w:p>
      <w:pPr>
        <w:pStyle w:val="Heading2"/>
        <w:spacing w:after="100" w:before="160"/>
      </w:pPr>
      <w:r>
        <w:rPr>
          <w:b/>
          <w:bCs/>
          <w:color w:val="282728"/>
        </w:rPr>
        <w:t xml:space="preserve">3. Structured Finance and Securitisation Analytics</w:t>
      </w:r>
    </w:p>
    <w:p>
      <w:pPr>
        <w:spacing w:after="180" w:line="300"/>
      </w:pPr>
      <w:r>
        <w:rPr>
          <w:sz w:val="22"/>
          <w:szCs w:val="22"/>
        </w:rPr>
        <w:t xml:space="preserve">Third, structured finance and securitization analytics. Our research pointed to a private credit boom that is driving a lot of new asset backed lending and loan pool issuance, all of which needs some form of independent analytics. CRISIL alone appears to cover several thousand of these deals, which suggests the market is real rather than speculative.</w:t>
      </w:r>
    </w:p>
    <w:p>
      <w:pPr>
        <w:spacing w:after="180" w:line="300"/>
      </w:pPr>
      <w:r>
        <w:rPr>
          <w:sz w:val="22"/>
          <w:szCs w:val="22"/>
        </w:rPr>
        <w:t xml:space="preserve">The work itself looked fairly close to what our MRM teams already do for banks today, particularly around predicting how loans behave over time and estimating potential losses. The gap looked like data access and some specific structuring knowledge, both of which seem learnable over a few months rather than years.</w:t>
      </w:r>
    </w:p>
    <w:p>
      <w:pPr>
        <w:spacing w:after="180" w:line="300"/>
      </w:pPr>
      <w:r>
        <w:rPr>
          <w:sz w:val="22"/>
          <w:szCs w:val="22"/>
        </w:rPr>
        <w:t xml:space="preserve">Deloitte already has audit relationships with a number of structured product issuers, though we are not currently offering analytics alongside that work. Because that relationship already exists, our research suggests we could skip some of the trust building a brand new entrant would otherwise need. As more private credit moves outside traditional bank balance sheets, the need for this kind of independent check seems likely to keep growing rather than level off.</w:t>
      </w:r>
    </w:p>
    <w:p>
      <w:pPr>
        <w:pStyle w:val="Heading2"/>
        <w:spacing w:after="100" w:before="160"/>
      </w:pPr>
      <w:r>
        <w:rPr>
          <w:b/>
          <w:bCs/>
          <w:color w:val="282728"/>
        </w:rPr>
        <w:t xml:space="preserve">4. Economic Consulting and Litigation Analytics</w:t>
      </w:r>
    </w:p>
    <w:p>
      <w:pPr>
        <w:spacing w:after="180" w:line="300"/>
      </w:pPr>
      <w:r>
        <w:rPr>
          <w:sz w:val="22"/>
          <w:szCs w:val="22"/>
        </w:rPr>
        <w:t xml:space="preserve">Fourth, economic consulting and litigation analytics. Cases involving antitrust, fraud, or intellectual property disputes often need an outside expert to do the quantitative analysis, and those experts tend to bill somewhere between </w:t>
      </w:r>
      <w:r>
        <w:rPr>
          <w:b/>
          <w:bCs/>
          <w:sz w:val="22"/>
          <w:szCs w:val="22"/>
        </w:rPr>
        <w:t xml:space="preserve">$500 and $1,000 an hour</w:t>
      </w:r>
      <w:r>
        <w:rPr>
          <w:sz w:val="22"/>
          <w:szCs w:val="22"/>
        </w:rPr>
        <w:t xml:space="preserve">. Firms like Analysis Group, Cornerstone Research, NERA Economic, and FTI Consulting are built almost entirely around this kind of work.</w:t>
      </w:r>
    </w:p>
    <w:p>
      <w:pPr>
        <w:spacing w:after="180" w:line="300"/>
      </w:pPr>
      <w:r>
        <w:rPr>
          <w:sz w:val="22"/>
          <w:szCs w:val="22"/>
        </w:rPr>
        <w:t xml:space="preserve">The underlying skill, statistical analysis used to support a specific argument, is fairly similar to what our MRM econometricians already do, just applied to a courtroom instead of a regulator. Deloitte's Financial Advisory practice already has relationships in the litigation space, so there may be a way to plug MRM expertise into that existing relationship rather than build a new one. From what we could tell, this also tends to be a relatively high margin area of quantitative work. It is worth noting this was one of the areas where our research leaned more on public rate information than on direct competitor outreach, so the figures here carry a bit more uncertainty than some of the others.</w:t>
      </w:r>
    </w:p>
    <w:p>
      <w:pPr>
        <w:spacing w:after="180" w:line="300"/>
      </w:pPr>
      <w:r>
        <w:rPr>
          <w:sz w:val="22"/>
          <w:szCs w:val="22"/>
        </w:rPr>
        <w:t xml:space="preserve">There is one real catch worth flagging. Anyone doing this work would likely need formal expert witness credentials and a clear independence structure separating it from any audit relationship. That would need proper sign off before this goes anywhere near a courtroom.</w:t>
      </w:r>
    </w:p>
    <w:p>
      <w:pPr>
        <w:pStyle w:val="Heading2"/>
        <w:spacing w:after="100" w:before="160"/>
      </w:pPr>
      <w:r>
        <w:rPr>
          <w:b/>
          <w:bCs/>
          <w:color w:val="282728"/>
        </w:rPr>
        <w:t xml:space="preserve">5. Validation as a Service, managed retainer</w:t>
      </w:r>
    </w:p>
    <w:p>
      <w:pPr>
        <w:spacing w:after="180" w:line="300"/>
      </w:pPr>
      <w:r>
        <w:rPr>
          <w:sz w:val="22"/>
          <w:szCs w:val="22"/>
        </w:rPr>
        <w:t xml:space="preserve">Fifth, validation as a service, as a managed retainer. This one is fairly straightforward. It is largely the same validation work Deloitte already does today, the same kind of SR 11-7 and SR 26-2 reporting, conceptual soundness, and outcome analysis, just restructured as an ongoing retainer with defined service levels instead of a series of one off projects.</w:t>
      </w:r>
    </w:p>
    <w:p>
      <w:pPr>
        <w:spacing w:after="180" w:line="300"/>
      </w:pPr>
      <w:r>
        <w:rPr>
          <w:sz w:val="22"/>
          <w:szCs w:val="22"/>
        </w:rPr>
        <w:t xml:space="preserve">Firms like CRISIL, Evalueserve, Solytics, and Yields.io have shown that clients are willing to pay for validation this way, so this is also one of the more validated ideas on the list. There is less guesswork here than in some of the other four, since it is less about building something new and more about packaging what we already do differently.</w:t>
      </w:r>
    </w:p>
    <w:p>
      <w:pPr>
        <w:spacing w:after="180" w:line="300"/>
      </w:pPr>
      <w:r>
        <w:rPr>
          <w:sz w:val="22"/>
          <w:szCs w:val="22"/>
        </w:rPr>
        <w:t xml:space="preserve">Clients would get a more predictable relationship with defined turnaround times instead of starting fresh on every engagement, and Deloitte's regulatory reputation could support a premium for that. If leadership is looking for a place to start that needs the least convincing, this might be it.</w:t>
      </w:r>
    </w:p>
    <w:p>
      <w:pPr>
        <w:pBdr>
          <w:bottom w:val="single" w:color="BFBFBF" w:sz="6"/>
        </w:pBdr>
        <w:spacing w:after="200" w:before="200"/>
      </w:pPr>
    </w:p>
    <w:p>
      <w:pPr>
        <w:pStyle w:val="Heading1"/>
        <w:spacing w:after="120" w:before="120"/>
      </w:pPr>
      <w:r>
        <w:rPr>
          <w:b/>
          <w:bCs/>
          <w:color w:val="6A9A23"/>
        </w:rPr>
        <w:t xml:space="preserve">Part 2. Everything else, at a glance (about 2 minutes)</w:t>
      </w:r>
    </w:p>
    <w:p>
      <w:pPr>
        <w:spacing w:after="180" w:line="300"/>
      </w:pPr>
      <w:r>
        <w:rPr>
          <w:b/>
          <w:bCs/>
          <w:sz w:val="22"/>
          <w:szCs w:val="22"/>
        </w:rPr>
        <w:t xml:space="preserve">P2, near term, 6 to 18 months, nine areas.</w:t>
      </w:r>
      <w:r>
        <w:rPr>
          <w:sz w:val="22"/>
          <w:szCs w:val="22"/>
        </w:rPr>
        <w:t xml:space="preserve"> Moving a bit faster through this tier.</w:t>
      </w:r>
    </w:p>
    <w:p>
      <w:pPr>
        <w:spacing w:after="180" w:line="300"/>
      </w:pPr>
      <w:r>
        <w:rPr>
          <w:sz w:val="22"/>
          <w:szCs w:val="22"/>
        </w:rPr>
        <w:t xml:space="preserve">These are all still fairly similar quantitative work, just applied to different parts of the business. Actuarial analytics for insurers looks like the largest market in this group, our research put it at around </w:t>
      </w:r>
      <w:r>
        <w:rPr>
          <w:b/>
          <w:bCs/>
          <w:sz w:val="22"/>
          <w:szCs w:val="22"/>
        </w:rPr>
        <w:t xml:space="preserve">$24.8 billion</w:t>
      </w:r>
      <w:r>
        <w:rPr>
          <w:sz w:val="22"/>
          <w:szCs w:val="22"/>
        </w:rPr>
        <w:t xml:space="preserve">, against firms like Milliman and WTW. Insurance pricing, including usage based insurance, adds close to another </w:t>
      </w:r>
      <w:r>
        <w:rPr>
          <w:b/>
          <w:bCs/>
          <w:sz w:val="22"/>
          <w:szCs w:val="22"/>
        </w:rPr>
        <w:t xml:space="preserve">$9.5 billion today</w:t>
      </w:r>
      <w:r>
        <w:rPr>
          <w:sz w:val="22"/>
          <w:szCs w:val="22"/>
        </w:rPr>
        <w:t xml:space="preserve">, with estimates suggesting it could grow substantially over the next several years. Private markets analytics for private equity and venture capital firms looked like roughly a </w:t>
      </w:r>
      <w:r>
        <w:rPr>
          <w:b/>
          <w:bCs/>
          <w:sz w:val="22"/>
          <w:szCs w:val="22"/>
        </w:rPr>
        <w:t xml:space="preserve">$15 billion</w:t>
      </w:r>
      <w:r>
        <w:rPr>
          <w:sz w:val="22"/>
          <w:szCs w:val="22"/>
        </w:rPr>
        <w:t xml:space="preserve"> opportunity, and again, Deloitte already has audit relationships with a number of these firms.</w:t>
      </w:r>
    </w:p>
    <w:p>
      <w:pPr>
        <w:spacing w:after="180" w:line="300"/>
      </w:pPr>
      <w:r>
        <w:rPr>
          <w:sz w:val="22"/>
          <w:szCs w:val="22"/>
        </w:rPr>
        <w:t xml:space="preserve">The rest of this tier covers banking topics. Balance sheet and interest rate risk work picked up renewed attention after the regional bank issues in 2023. Deposit and loan pricing work has, according to some published research, shown measurable savings fairly quickly. Regulatory change management, anti money laundering model work, data quality tied to BCBS 239, and stress scenario generation round out the rest, and most of these build on things our MRM team already touches in some form.</w:t>
      </w:r>
    </w:p>
    <w:p>
      <w:pPr>
        <w:spacing w:after="180" w:line="300"/>
      </w:pPr>
      <w:r>
        <w:rPr>
          <w:sz w:val="22"/>
          <w:szCs w:val="22"/>
        </w:rPr>
        <w:t xml:space="preserve">None of this looks like it requires a completely new discipline. Most would need a small number of targeted hires and roughly six to eighteen months to stand up properly. If there is one place worth looking at first inside P2, it is probably the actuarial and insurance pricing pair, mainly because the markets are the largest and the audit relationship advantage shows up again. As with the P1s, our confidence in these particular numbers varies a bit depending on how much outside research was available versus how much we inferred from adjacent markets.</w:t>
      </w:r>
    </w:p>
    <w:p>
      <w:pPr>
        <w:spacing w:after="180" w:line="300"/>
      </w:pPr>
      <w:r>
        <w:rPr>
          <w:b/>
          <w:bCs/>
          <w:sz w:val="22"/>
          <w:szCs w:val="22"/>
        </w:rPr>
        <w:t xml:space="preserve">P3, build phase, 12 to 24 months, seven areas.</w:t>
      </w:r>
      <w:r>
        <w:rPr>
          <w:sz w:val="22"/>
          <w:szCs w:val="22"/>
        </w:rPr>
        <w:t xml:space="preserve"> This is where more real investment would be needed. ESG quantitative modeling looked like a couple of billion dollars today, with research suggesting it could grow significantly by the end of the decade, largely tied to disclosure requirements coming out of Europe. Customer analytics work is something a few large banks have already started talking about publicly in terms of AI driven revenue. Supply chain decision analytics, revenue and pricing optimization, healthcare and life sciences analytics, and valuation control round out the rest of this tier.</w:t>
      </w:r>
    </w:p>
    <w:p>
      <w:pPr>
        <w:spacing w:after="180" w:line="300"/>
      </w:pPr>
      <w:r>
        <w:rPr>
          <w:sz w:val="22"/>
          <w:szCs w:val="22"/>
        </w:rPr>
        <w:t xml:space="preserve">One area worth flagging specifically is agentic AI assurance, essentially figuring out how to independently check the work of autonomous AI agents. There does not appear to be an established standard for this yet anywhere in the market. If Deloitte were to build one early, that could be a chance to help shape what the standard looks like, rather than adopting someone else's. I would treat the growth figures in this tier as directional rather than precise, since some lean more on where the market seems to be heading than on hard current numbers.</w:t>
      </w:r>
    </w:p>
    <w:p>
      <w:pPr>
        <w:spacing w:after="180" w:line="300"/>
      </w:pPr>
      <w:r>
        <w:rPr>
          <w:b/>
          <w:bCs/>
          <w:sz w:val="22"/>
          <w:szCs w:val="22"/>
        </w:rPr>
        <w:t xml:space="preserve">P4, strategic bets, 18 to 36 months, three areas.</w:t>
      </w:r>
      <w:r>
        <w:rPr>
          <w:sz w:val="22"/>
          <w:szCs w:val="22"/>
        </w:rPr>
        <w:t xml:space="preserve"> Commodities and carbon risk analytics looked like roughly a </w:t>
      </w:r>
      <w:r>
        <w:rPr>
          <w:b/>
          <w:bCs/>
          <w:sz w:val="22"/>
          <w:szCs w:val="22"/>
        </w:rPr>
        <w:t xml:space="preserve">$12 billion</w:t>
      </w:r>
      <w:r>
        <w:rPr>
          <w:sz w:val="22"/>
          <w:szCs w:val="22"/>
        </w:rPr>
        <w:t xml:space="preserve"> market with no clearly established leader yet, which could make it an interesting early mover opportunity. Real estate and mortgage analytics is around </w:t>
      </w:r>
      <w:r>
        <w:rPr>
          <w:b/>
          <w:bCs/>
          <w:sz w:val="22"/>
          <w:szCs w:val="22"/>
        </w:rPr>
        <w:t xml:space="preserve">$8 billion</w:t>
      </w:r>
      <w:r>
        <w:rPr>
          <w:sz w:val="22"/>
          <w:szCs w:val="22"/>
        </w:rPr>
        <w:t xml:space="preserve">, and Deloitte already has audit relationships with a number of REITs and mortgage servicers who could be a natural first conversation. Front office trading quant support is a smaller, more niche opportunity, though CRISIL's experience there suggests banks are open to paying an outside firm for it. These are also the numbers we have the least confidence in, given how early some of these markets still are.</w:t>
      </w:r>
    </w:p>
    <w:p>
      <w:pPr>
        <w:pBdr>
          <w:bottom w:val="single" w:color="BFBFBF" w:sz="6"/>
        </w:pBdr>
        <w:spacing w:after="200" w:before="200"/>
      </w:pPr>
    </w:p>
    <w:p>
      <w:pPr>
        <w:pStyle w:val="Heading1"/>
        <w:spacing w:after="120" w:before="120"/>
      </w:pPr>
      <w:r>
        <w:rPr>
          <w:b/>
          <w:bCs/>
          <w:color w:val="6A9A23"/>
        </w:rPr>
        <w:t xml:space="preserve">Close (about 45 seconds)</w:t>
      </w:r>
    </w:p>
    <w:p>
      <w:pPr>
        <w:spacing w:after="180" w:line="300"/>
      </w:pPr>
      <w:r>
        <w:rPr>
          <w:sz w:val="22"/>
          <w:szCs w:val="22"/>
        </w:rPr>
        <w:t xml:space="preserve">That is roughly the shape of it. Five areas we could realistically start exploring soon, with nineteen more behind them, and based on our estimates, somewhere in the range of </w:t>
      </w:r>
      <w:r>
        <w:rPr>
          <w:b/>
          <w:bCs/>
          <w:sz w:val="22"/>
          <w:szCs w:val="22"/>
        </w:rPr>
        <w:t xml:space="preserve">$250 billion</w:t>
      </w:r>
      <w:r>
        <w:rPr>
          <w:sz w:val="22"/>
          <w:szCs w:val="22"/>
        </w:rPr>
        <w:t xml:space="preserve"> in combined addressable market across every tier.</w:t>
      </w:r>
    </w:p>
    <w:p>
      <w:pPr>
        <w:spacing w:after="180" w:line="300"/>
      </w:pPr>
      <w:r>
        <w:rPr>
          <w:sz w:val="22"/>
          <w:szCs w:val="22"/>
        </w:rPr>
        <w:t xml:space="preserve">One thing worth mentioning is that Deloitte already delivers AI and GenAI system validation today, which is essentially MRM's existing skillset applied to a newer domain, and it has worked well. That was not a new team or a new discipline, it was pointing something we already do well at a slightly different problem. Everything in this list follows that same logic, just in twenty four different directions.</w:t>
      </w:r>
    </w:p>
    <w:p>
      <w:pPr>
        <w:spacing w:after="180" w:line="300"/>
      </w:pPr>
      <w:r>
        <w:rPr>
          <w:sz w:val="22"/>
          <w:szCs w:val="22"/>
        </w:rPr>
        <w:t xml:space="preserve">As with any market sizing exercise like this, I would treat the specific numbers as our best estimate based on the research available, not as guaranteed outcomes. Starting with the areas that need the least new investment probably makes the rest of the list easier to justify later.</w:t>
      </w:r>
    </w:p>
    <w:p>
      <w:pPr>
        <w:pBdr>
          <w:bottom w:val="single" w:color="BFBFBF" w:sz="6"/>
        </w:pBdr>
        <w:spacing w:after="200" w:before="200"/>
      </w:pPr>
    </w:p>
    <w:p>
      <w:pPr>
        <w:spacing w:after="180" w:line="300"/>
      </w:pPr>
      <w:r>
        <w:rPr>
          <w:i/>
          <w:iCs/>
          <w:color w:val="595959"/>
          <w:sz w:val="20"/>
          <w:szCs w:val="20"/>
        </w:rPr>
        <w:t xml:space="preserve">One flag for you. This script follows the P1 framing exactly as it appears in the current deliverable file, all five areas shown as genuinely worth pursuing, with Deloitte's coverage marked honestly as none, partial, or nascent per area. If the overlap check we discussed earlier ended up reclassifying any of the other four P1s as internal enhancements rather than net new, let me know before the call and I will adjust this section so it does not contradict what leadership already saw.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2026-08-19T13:33:37.981Z</dcterms:created>
  <dcterms:modified xsi:type="dcterms:W3CDTF">2026-08-19T13:33:37.994Z</dcterms:modified>
</cp:coreProperties>
</file>

<file path=docProps/custom.xml><?xml version="1.0" encoding="utf-8"?>
<Properties xmlns="http://schemas.openxmlformats.org/officeDocument/2006/custom-properties" xmlns:vt="http://schemas.openxmlformats.org/officeDocument/2006/docPropsVTypes"/>
</file>