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i w:val="0"/>
          <w:color w:val="FF7A2F"/>
          <w:sz w:val="64"/>
        </w:rPr>
        <w:t>QUBE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646E82"/>
          <w:sz w:val="26"/>
        </w:rPr>
        <w:t>India's physical AI data collection company</w:t>
      </w:r>
    </w:p>
    <w:p>
      <w:pPr>
        <w:spacing w:before="0" w:after="0"/>
        <w:pBdr>
          <w:bottom w:val="single" w:sz="6" w:space="1" w:color="FF7A2F"/>
        </w:pBdr>
      </w:pP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WHAT ARE WE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Qube is a data collection company built for physical AI. We source, record, and deliver egocentric (first-person POV) training data from real-world environments in India — the kind of data that teaches robots and autonomous systems how humans actually move and work.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WHAT WE DO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We run end-to-end data collection projects — from contributor briefing and recording to QA review and annotation delivery. Our focus is task-specific, environment-specific data from Indian manufacturing settings: auto components, electronics assembly, and pharma packaging.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HOW WE DO IT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In-house execution team </w:t>
      </w:r>
      <w:r>
        <w:rPr>
          <w:rFonts w:ascii="Calibri" w:hAnsi="Calibri"/>
          <w:b w:val="0"/>
          <w:i w:val="0"/>
          <w:color w:val="232832"/>
          <w:sz w:val="21"/>
        </w:rPr>
        <w:t>— trained contributors with head-mounted rigs, briefed on narration and hand visibility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Factory floor access </w:t>
      </w:r>
      <w:r>
        <w:rPr>
          <w:rFonts w:ascii="Calibri" w:hAnsi="Calibri"/>
          <w:b w:val="0"/>
          <w:i w:val="0"/>
          <w:color w:val="232832"/>
          <w:sz w:val="21"/>
        </w:rPr>
        <w:t>— direct relationships with manufacturing facilities across India, with employer-level consent frameworks.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Structured QA pipeline </w:t>
      </w:r>
      <w:r>
        <w:rPr>
          <w:rFonts w:ascii="Calibri" w:hAnsi="Calibri"/>
          <w:b w:val="0"/>
          <w:i w:val="0"/>
          <w:color w:val="232832"/>
          <w:sz w:val="21"/>
        </w:rPr>
        <w:t>— every video reviewed against narration quality, PII checks, hand visibility, and file standards before delivery.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Annotation </w:t>
      </w:r>
      <w:r>
        <w:rPr>
          <w:rFonts w:ascii="Calibri" w:hAnsi="Calibri"/>
          <w:b w:val="0"/>
          <w:i w:val="0"/>
          <w:color w:val="232832"/>
          <w:sz w:val="21"/>
        </w:rPr>
        <w:t>— temporal/action labels, object annotation, pose/keypoint, and task state labels on top of raw footage.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WHY CHOOSE US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Cost advantage </w:t>
      </w:r>
      <w:r>
        <w:rPr>
          <w:rFonts w:ascii="Calibri" w:hAnsi="Calibri"/>
          <w:b w:val="0"/>
          <w:i w:val="0"/>
          <w:color w:val="232832"/>
          <w:sz w:val="21"/>
        </w:rPr>
        <w:t>— India-based execution at a fraction of US or EU collection rates, without compromising on quality or consent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India manual-labour workflows are the training target </w:t>
      </w:r>
      <w:r>
        <w:rPr>
          <w:rFonts w:ascii="Calibri" w:hAnsi="Calibri"/>
          <w:b w:val="0"/>
          <w:i w:val="0"/>
          <w:color w:val="232832"/>
          <w:sz w:val="21"/>
        </w:rPr>
        <w:t>— the assembly, packaging, and inspection tasks Indian factory workers perform daily are exactly the task demonstrations industrial robots need, regardless of deployment geography.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Task-specific by design </w:t>
      </w:r>
      <w:r>
        <w:rPr>
          <w:rFonts w:ascii="Calibri" w:hAnsi="Calibri"/>
          <w:b w:val="0"/>
          <w:i w:val="0"/>
          <w:color w:val="232832"/>
          <w:sz w:val="21"/>
        </w:rPr>
        <w:t>— every project is structured around specific robot task demonstrations, not generic footage that AI labs have to filter through.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DPDP-compliant </w:t>
      </w:r>
      <w:r>
        <w:rPr>
          <w:rFonts w:ascii="Calibri" w:hAnsi="Calibri"/>
          <w:b w:val="0"/>
          <w:i w:val="0"/>
          <w:color w:val="232832"/>
          <w:sz w:val="21"/>
        </w:rPr>
        <w:t>— employer-level consent frameworks, PII-free by design. Egocentric data collected and transferred in full compliance with India's Digital Personal Data Protection Act.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Fast pilots </w:t>
      </w:r>
      <w:r>
        <w:rPr>
          <w:rFonts w:ascii="Calibri" w:hAnsi="Calibri"/>
          <w:b w:val="0"/>
          <w:i w:val="0"/>
          <w:color w:val="232832"/>
          <w:sz w:val="21"/>
        </w:rPr>
        <w:t>— low-commitment entry point to validate quality before committing to scale.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ANNOTATION TYPES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232832"/>
          <w:sz w:val="20"/>
        </w:rPr>
        <w:t>Narration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Action Segments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Object Labels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Object State Change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Task State Labels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Failure Event Labels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HOI (Hand Object Interaction)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Bounding Boxes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Keypoints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Gaze (Post-hoc Estimated)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Environment Metadata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DATA TIERS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FF7A2F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Tier</w:t>
            </w:r>
          </w:p>
        </w:tc>
        <w:tc>
          <w:tcPr>
            <w:tcW w:type="dxa" w:w="3022"/>
            <w:shd w:val="clear" w:color="auto" w:fill="FF7A2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Is Included</w:t>
            </w:r>
          </w:p>
        </w:tc>
        <w:tc>
          <w:tcPr>
            <w:tcW w:type="dxa" w:w="3022"/>
            <w:shd w:val="clear" w:color="auto" w:fill="FF7A2F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Price Range</w:t>
            </w:r>
          </w:p>
        </w:tc>
      </w:tr>
      <w:tr>
        <w:tc>
          <w:tcPr>
            <w:tcW w:type="dxa" w:w="3022"/>
            <w:shd w:val="clear" w:color="auto" w:fill="F7F8FA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1</w:t>
            </w:r>
          </w:p>
        </w:tc>
        <w:tc>
          <w:tcPr>
            <w:tcW w:type="dxa" w:w="3022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Raw narrated egocentric video, QA-passed for hand visibility, PII, and narration quality.</w:t>
            </w:r>
          </w:p>
        </w:tc>
        <w:tc>
          <w:tcPr>
            <w:tcW w:type="dxa" w:w="3022"/>
            <w:shd w:val="clear" w:color="auto" w:fill="F7F8FA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19"/>
              </w:rPr>
              <w:t>$6 - $10 / approved hr</w:t>
            </w:r>
          </w:p>
        </w:tc>
      </w:tr>
      <w:tr>
        <w:tc>
          <w:tcPr>
            <w:tcW w:type="dxa" w:w="3022"/>
            <w:shd w:val="clear" w:color="auto" w:fill="FFFFFF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2</w:t>
            </w:r>
          </w:p>
        </w:tc>
        <w:tc>
          <w:tcPr>
            <w:tcW w:type="dxa" w:w="302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1 + action segments, object labels, object state change, task state labels.</w:t>
            </w:r>
          </w:p>
        </w:tc>
        <w:tc>
          <w:tcPr>
            <w:tcW w:type="dxa" w:w="3022"/>
            <w:shd w:val="clear" w:color="auto" w:fill="FFFFFF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19"/>
              </w:rPr>
              <w:t>$12 - $18 / approved hr</w:t>
            </w:r>
          </w:p>
        </w:tc>
      </w:tr>
      <w:tr>
        <w:tc>
          <w:tcPr>
            <w:tcW w:type="dxa" w:w="3022"/>
            <w:shd w:val="clear" w:color="auto" w:fill="F7F8FA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3</w:t>
            </w:r>
          </w:p>
        </w:tc>
        <w:tc>
          <w:tcPr>
            <w:tcW w:type="dxa" w:w="3022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2 + HOI frame-by-frame, failure event labels, bounding boxes.</w:t>
            </w:r>
          </w:p>
        </w:tc>
        <w:tc>
          <w:tcPr>
            <w:tcW w:type="dxa" w:w="3022"/>
            <w:shd w:val="clear" w:color="auto" w:fill="F7F8FA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19"/>
              </w:rPr>
              <w:t>$20 - $30 / approved hr</w:t>
            </w:r>
          </w:p>
        </w:tc>
      </w:tr>
      <w:tr>
        <w:tc>
          <w:tcPr>
            <w:tcW w:type="dxa" w:w="3022"/>
            <w:shd w:val="clear" w:color="auto" w:fill="FFFFFF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4</w:t>
            </w:r>
          </w:p>
        </w:tc>
        <w:tc>
          <w:tcPr>
            <w:tcW w:type="dxa" w:w="302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3 + phase decomposition, keypoints, environment metadata.</w:t>
            </w:r>
          </w:p>
        </w:tc>
        <w:tc>
          <w:tcPr>
            <w:tcW w:type="dxa" w:w="3022"/>
            <w:shd w:val="clear" w:color="auto" w:fill="FFFFFF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19"/>
              </w:rPr>
              <w:t>$30 - $42 / approved hr</w:t>
            </w:r>
          </w:p>
        </w:tc>
      </w:tr>
      <w:tr>
        <w:tc>
          <w:tcPr>
            <w:tcW w:type="dxa" w:w="3022"/>
            <w:shd w:val="clear" w:color="auto" w:fill="F7F8FA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5</w:t>
            </w:r>
          </w:p>
        </w:tc>
        <w:tc>
          <w:tcPr>
            <w:tcW w:type="dxa" w:w="3022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4 + post-hoc gaze estimation (estimated region, flagged with confidence score).</w:t>
            </w:r>
          </w:p>
        </w:tc>
        <w:tc>
          <w:tcPr>
            <w:tcW w:type="dxa" w:w="3022"/>
            <w:shd w:val="clear" w:color="auto" w:fill="F7F8FA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19"/>
              </w:rPr>
              <w:t>$40 - $55 / approved hr</w:t>
            </w:r>
          </w:p>
        </w:tc>
      </w:tr>
    </w:tbl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CAPABILITIES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Languages</w:t>
            </w:r>
          </w:p>
        </w:tc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Hindi, Bengali, Odia, Tamil, Kannada, Gujarati, Punjabi, Marathi, Nepali, Bhojpuri, Assamese, Manipuri, English — 13 languages across all major Indian regions.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Project start</w:t>
            </w:r>
          </w:p>
        </w:tc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Ready to begin within 1-2 weeks of project brief and sample approval.</w:t>
            </w:r>
          </w:p>
        </w:tc>
      </w:tr>
      <w:tr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Volume</w:t>
            </w:r>
          </w:p>
        </w:tc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Pilot runs from 500 hours. Scale up to 10,000+ approved hours per month.</w:t>
            </w:r>
          </w:p>
        </w:tc>
      </w:tr>
    </w:tbl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DATA NETWORK &amp; FACTORY ACCESS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Qube operates a physical network of 100 manufacturing facilities across India, spanning 9 industrial sectors. Our factory-floor relationships give clients direct access to authentic task demonstration data — collected, QA-validated, and annotated through our own pipeline before delivery.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F7F8FA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FF7A2F"/>
                <w:sz w:val="30"/>
              </w:rPr>
              <w:t>100</w:t>
              <w:br/>
            </w:r>
            <w:r>
              <w:rPr>
                <w:rFonts w:ascii="Calibri" w:hAnsi="Calibri"/>
                <w:b w:val="0"/>
                <w:i w:val="0"/>
                <w:color w:val="646E82"/>
                <w:sz w:val="17"/>
              </w:rPr>
              <w:t>Factory Connections</w:t>
            </w:r>
          </w:p>
        </w:tc>
        <w:tc>
          <w:tcPr>
            <w:tcW w:type="dxa" w:w="3022"/>
            <w:shd w:val="clear" w:color="auto" w:fill="F7F8FA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FF7A2F"/>
                <w:sz w:val="30"/>
              </w:rPr>
              <w:t>150,000 hrs</w:t>
              <w:br/>
            </w:r>
            <w:r>
              <w:rPr>
                <w:rFonts w:ascii="Calibri" w:hAnsi="Calibri"/>
                <w:b w:val="0"/>
                <w:i w:val="0"/>
                <w:color w:val="646E82"/>
                <w:sz w:val="17"/>
              </w:rPr>
              <w:t>Industrial Data Network</w:t>
            </w:r>
          </w:p>
        </w:tc>
        <w:tc>
          <w:tcPr>
            <w:tcW w:type="dxa" w:w="3022"/>
            <w:shd w:val="clear" w:color="auto" w:fill="F7F8FA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FF7A2F"/>
                <w:sz w:val="30"/>
              </w:rPr>
              <w:t>9</w:t>
              <w:br/>
            </w:r>
            <w:r>
              <w:rPr>
                <w:rFonts w:ascii="Calibri" w:hAnsi="Calibri"/>
                <w:b w:val="0"/>
                <w:i w:val="0"/>
                <w:color w:val="646E82"/>
                <w:sz w:val="17"/>
              </w:rPr>
              <w:t>Manufacturing Sectors</w:t>
            </w:r>
          </w:p>
        </w:tc>
      </w:tr>
    </w:tbl>
    <w:p>
      <w:pPr>
        <w:spacing w:before="160" w:after="60"/>
      </w:pPr>
      <w:r>
        <w:rPr>
          <w:rFonts w:ascii="Calibri" w:hAnsi="Calibri"/>
          <w:b/>
          <w:i w:val="0"/>
          <w:color w:val="232832"/>
          <w:sz w:val="19"/>
        </w:rPr>
        <w:t xml:space="preserve">Sectors: </w:t>
      </w:r>
      <w:r>
        <w:rPr>
          <w:rFonts w:ascii="Calibri" w:hAnsi="Calibri"/>
          <w:b w:val="0"/>
          <w:i w:val="0"/>
          <w:color w:val="232832"/>
          <w:sz w:val="19"/>
        </w:rPr>
        <w:t>Electronics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Technical Textiles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Garments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Automobile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Perfume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Ancillary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Slippers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Shoes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Leather Works</w:t>
      </w:r>
    </w:p>
    <w:p>
      <w:pPr>
        <w:spacing w:before="60" w:after="60"/>
      </w:pPr>
      <w:r>
        <w:rPr>
          <w:rFonts w:ascii="Calibri" w:hAnsi="Calibri"/>
          <w:b/>
          <w:i w:val="0"/>
          <w:color w:val="232832"/>
          <w:sz w:val="19"/>
        </w:rPr>
        <w:t xml:space="preserve">Off-the-shelf available: </w:t>
      </w:r>
      <w:r>
        <w:rPr>
          <w:rFonts w:ascii="Calibri" w:hAnsi="Calibri"/>
          <w:b w:val="0"/>
          <w:i w:val="0"/>
          <w:color w:val="232832"/>
          <w:sz w:val="19"/>
        </w:rPr>
        <w:t>2,000 hrs electronics assembly  ·  2,000 hrs automotive manufacturing</w:t>
      </w:r>
    </w:p>
    <w:p>
      <w:pPr>
        <w:spacing w:before="60" w:after="200"/>
      </w:pPr>
      <w:r>
        <w:rPr>
          <w:rFonts w:ascii="Calibri" w:hAnsi="Calibri"/>
          <w:b/>
          <w:i w:val="0"/>
          <w:color w:val="232832"/>
          <w:sz w:val="19"/>
        </w:rPr>
        <w:t xml:space="preserve">Factory connections include: </w:t>
      </w:r>
      <w:r>
        <w:rPr>
          <w:rFonts w:ascii="Calibri" w:hAnsi="Calibri"/>
          <w:b/>
          <w:i w:val="0"/>
          <w:color w:val="FF7A2F"/>
          <w:sz w:val="19"/>
        </w:rPr>
        <w:t>boAt</w:t>
      </w:r>
      <w:r>
        <w:rPr>
          <w:rFonts w:ascii="Calibri" w:hAnsi="Calibri"/>
          <w:b w:val="0"/>
          <w:i w:val="0"/>
          <w:color w:val="232832"/>
          <w:sz w:val="19"/>
        </w:rPr>
        <w:t xml:space="preserve"> (electronics)  ·  </w:t>
      </w:r>
      <w:r>
        <w:rPr>
          <w:rFonts w:ascii="Calibri" w:hAnsi="Calibri"/>
          <w:b/>
          <w:i w:val="0"/>
          <w:color w:val="FF7A2F"/>
          <w:sz w:val="19"/>
        </w:rPr>
        <w:t>TVS · Bajaj · BMW</w:t>
      </w:r>
      <w:r>
        <w:rPr>
          <w:rFonts w:ascii="Calibri" w:hAnsi="Calibri"/>
          <w:b w:val="0"/>
          <w:i w:val="0"/>
          <w:color w:val="232832"/>
          <w:sz w:val="19"/>
        </w:rPr>
        <w:t xml:space="preserve"> (automotive)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0"/>
              </w:rPr>
              <w:t>Healthcare &amp; Pharma</w:t>
            </w:r>
          </w:p>
        </w:tc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Access to 50+ pathogen labs across India for procedural footage — surgical AI, pharmaceutical manufacturing, and lab automation training data.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0"/>
              </w:rPr>
              <w:t>Research-Grade Production</w:t>
            </w:r>
          </w:p>
        </w:tc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200 hours per week of annotated research-grade data on demand for academic and frontier AI teams.</w:t>
            </w:r>
          </w:p>
        </w:tc>
      </w:tr>
      <w:tr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0"/>
              </w:rPr>
              <w:t>Household / Consumer AI</w:t>
            </w:r>
          </w:p>
        </w:tc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150 dedicated household contributors with 50+ GoPro rigs and studio setups for home robotics and daily-activity training data.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0"/>
              </w:rPr>
              <w:t>Validation Pipeline</w:t>
            </w:r>
          </w:p>
        </w:tc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Every dataset QA-checked through our own pipeline — hand visibility, PII, narration quality, and annotation accuracy. Clients receive clean, model-ready data without raw processing overhead.</w:t>
            </w:r>
          </w:p>
        </w:tc>
      </w:tr>
    </w:tbl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