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1CE08" w14:textId="77777777" w:rsidR="007F33A7" w:rsidRDefault="00000000">
      <w:pPr>
        <w:spacing w:after="60"/>
      </w:pPr>
      <w:r>
        <w:rPr>
          <w:rFonts w:ascii="Calibri" w:hAnsi="Calibri"/>
          <w:b/>
          <w:color w:val="FF7A2F"/>
          <w:sz w:val="60"/>
        </w:rPr>
        <w:t>QUBE</w:t>
      </w:r>
    </w:p>
    <w:p w14:paraId="2DE9EF8F" w14:textId="77777777" w:rsidR="007F33A7" w:rsidRDefault="00000000">
      <w:pPr>
        <w:spacing w:after="80"/>
      </w:pPr>
      <w:r>
        <w:rPr>
          <w:rFonts w:ascii="Calibri" w:hAnsi="Calibri"/>
          <w:color w:val="646E82"/>
          <w:sz w:val="26"/>
        </w:rPr>
        <w:t>India's physical AI data collection company</w:t>
      </w:r>
    </w:p>
    <w:p w14:paraId="1F685325" w14:textId="77777777" w:rsidR="007F33A7" w:rsidRDefault="007F33A7">
      <w:pPr>
        <w:pBdr>
          <w:bottom w:val="single" w:sz="6" w:space="1" w:color="FF7A2F"/>
        </w:pBdr>
        <w:spacing w:after="0"/>
      </w:pPr>
    </w:p>
    <w:p w14:paraId="004A7403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WHAT ARE WE</w:t>
      </w:r>
    </w:p>
    <w:p w14:paraId="435138BC" w14:textId="1D90708F" w:rsidR="007F33A7" w:rsidRDefault="00000000">
      <w:pPr>
        <w:spacing w:after="140"/>
      </w:pPr>
      <w:r>
        <w:rPr>
          <w:rFonts w:ascii="Calibri" w:hAnsi="Calibri"/>
          <w:color w:val="232832"/>
          <w:sz w:val="20"/>
        </w:rPr>
        <w:t xml:space="preserve">Qube is a data collection company built specifically for physical AI. We source, record, and deliver egocentric (first-person POV) training data from real-world environments in India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the kind of data that teaches robots and autonomous systems how humans actually move and work. Every project is task-specific and environment-specific. We do not produce generic footage.</w:t>
      </w:r>
    </w:p>
    <w:p w14:paraId="1DFA4D22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WHAT WE DO</w:t>
      </w:r>
    </w:p>
    <w:p w14:paraId="266DC222" w14:textId="70C0516C" w:rsidR="007F33A7" w:rsidRDefault="00000000">
      <w:pPr>
        <w:spacing w:after="140"/>
      </w:pPr>
      <w:r>
        <w:rPr>
          <w:rFonts w:ascii="Calibri" w:hAnsi="Calibri"/>
          <w:color w:val="232832"/>
          <w:sz w:val="20"/>
        </w:rPr>
        <w:t xml:space="preserve">End-to-end data collection: contributor briefing, recording, QA review, and annotation delivery. Current focus: Indian manufacturing environments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auto components, electronics assembly, and pharma packaging. Output is consent-clean, QA-passed video with annotation layers delivered to client spec.</w:t>
      </w:r>
    </w:p>
    <w:p w14:paraId="5BBD4F58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HOW WE DO IT</w:t>
      </w:r>
    </w:p>
    <w:p w14:paraId="0899B744" w14:textId="39565F44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In-house execution team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trained contributors with head-mounted rigs, briefed on narration and hand-visibility standards before every project.</w:t>
      </w:r>
    </w:p>
    <w:p w14:paraId="0C186C72" w14:textId="06C20CC0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Factory floor access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direct relationships with manufacturing facilities across India, with employer-level consent frameworks covering all contributors.</w:t>
      </w:r>
    </w:p>
    <w:p w14:paraId="2005027F" w14:textId="27DDB207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Structured QA pipeline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every video reviewed against narration quality, PII checks, hand visibility (80% target), and file standards before delivery.</w:t>
      </w:r>
    </w:p>
    <w:p w14:paraId="7B3D74A3" w14:textId="4296A183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Annotation delivery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layered annotation from Tier 1 raw narrated video up to Tier 5 gaze-level data, depending on project spec.</w:t>
      </w:r>
    </w:p>
    <w:p w14:paraId="7FB07B62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DATA TIERS</w:t>
      </w:r>
    </w:p>
    <w:p w14:paraId="307A6DA4" w14:textId="77777777" w:rsidR="007F33A7" w:rsidRDefault="00000000">
      <w:pPr>
        <w:spacing w:after="100"/>
      </w:pPr>
      <w:r>
        <w:rPr>
          <w:rFonts w:ascii="Calibri" w:hAnsi="Calibri"/>
          <w:color w:val="232832"/>
          <w:sz w:val="20"/>
        </w:rPr>
        <w:t>Five tiers of increasing richness. Each tier is a superset of the one before it. Clients specify the tier at project brief stage.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F33A7" w14:paraId="24D37A25" w14:textId="77777777">
        <w:tc>
          <w:tcPr>
            <w:tcW w:w="3135" w:type="dxa"/>
            <w:shd w:val="clear" w:color="auto" w:fill="FF7A2F"/>
          </w:tcPr>
          <w:p w14:paraId="63CCFCF9" w14:textId="77777777" w:rsidR="007F33A7" w:rsidRDefault="00000000">
            <w:r>
              <w:rPr>
                <w:rFonts w:ascii="Calibri" w:hAnsi="Calibri"/>
                <w:b/>
                <w:color w:val="FFFFFF"/>
                <w:sz w:val="19"/>
              </w:rPr>
              <w:t>Tier</w:t>
            </w:r>
          </w:p>
        </w:tc>
        <w:tc>
          <w:tcPr>
            <w:tcW w:w="3135" w:type="dxa"/>
            <w:shd w:val="clear" w:color="auto" w:fill="FF7A2F"/>
          </w:tcPr>
          <w:p w14:paraId="4A11D8D6" w14:textId="77777777" w:rsidR="007F33A7" w:rsidRDefault="00000000">
            <w:r>
              <w:rPr>
                <w:rFonts w:ascii="Calibri" w:hAnsi="Calibri"/>
                <w:b/>
                <w:color w:val="FFFFFF"/>
                <w:sz w:val="19"/>
              </w:rPr>
              <w:t>What Is Included</w:t>
            </w:r>
          </w:p>
        </w:tc>
        <w:tc>
          <w:tcPr>
            <w:tcW w:w="3135" w:type="dxa"/>
            <w:shd w:val="clear" w:color="auto" w:fill="FF7A2F"/>
          </w:tcPr>
          <w:p w14:paraId="29B877AA" w14:textId="77777777" w:rsidR="007F33A7" w:rsidRDefault="00000000">
            <w:r>
              <w:rPr>
                <w:rFonts w:ascii="Calibri" w:hAnsi="Calibri"/>
                <w:b/>
                <w:color w:val="FFFFFF"/>
                <w:sz w:val="19"/>
              </w:rPr>
              <w:t>Best For</w:t>
            </w:r>
          </w:p>
        </w:tc>
      </w:tr>
      <w:tr w:rsidR="007F33A7" w14:paraId="35859CE0" w14:textId="77777777">
        <w:tc>
          <w:tcPr>
            <w:tcW w:w="3135" w:type="dxa"/>
            <w:shd w:val="clear" w:color="auto" w:fill="F7F8FA"/>
          </w:tcPr>
          <w:p w14:paraId="6001988F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1</w:t>
            </w:r>
          </w:p>
        </w:tc>
        <w:tc>
          <w:tcPr>
            <w:tcW w:w="3135" w:type="dxa"/>
            <w:shd w:val="clear" w:color="auto" w:fill="F7F8FA"/>
          </w:tcPr>
          <w:p w14:paraId="38468BDA" w14:textId="64A3A1C0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Raw narrated video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head-mounted POV, contributor narration synchronized to video, QA-passed for hand visibility and PII.</w:t>
            </w:r>
          </w:p>
        </w:tc>
        <w:tc>
          <w:tcPr>
            <w:tcW w:w="3135" w:type="dxa"/>
            <w:shd w:val="clear" w:color="auto" w:fill="F7F8FA"/>
          </w:tcPr>
          <w:p w14:paraId="0570053D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Model pretraining, activity recognition, general embodied AI research.</w:t>
            </w:r>
          </w:p>
        </w:tc>
      </w:tr>
      <w:tr w:rsidR="007F33A7" w14:paraId="36887BD7" w14:textId="77777777">
        <w:tc>
          <w:tcPr>
            <w:tcW w:w="3135" w:type="dxa"/>
            <w:shd w:val="clear" w:color="auto" w:fill="FFFFFF"/>
          </w:tcPr>
          <w:p w14:paraId="61DFFB30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2</w:t>
            </w:r>
          </w:p>
        </w:tc>
        <w:tc>
          <w:tcPr>
            <w:tcW w:w="3135" w:type="dxa"/>
            <w:shd w:val="clear" w:color="auto" w:fill="FFFFFF"/>
          </w:tcPr>
          <w:p w14:paraId="68B45B05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Tier 1 + action segments (verb + noun + start/end timestamps) + object state change (before/after state for each object touched).</w:t>
            </w:r>
          </w:p>
        </w:tc>
        <w:tc>
          <w:tcPr>
            <w:tcW w:w="3135" w:type="dxa"/>
            <w:shd w:val="clear" w:color="auto" w:fill="FFFFFF"/>
          </w:tcPr>
          <w:p w14:paraId="6A14AEF2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Task recognition, action prediction, manipulation model training.</w:t>
            </w:r>
          </w:p>
        </w:tc>
      </w:tr>
      <w:tr w:rsidR="007F33A7" w14:paraId="4A156CAD" w14:textId="77777777">
        <w:tc>
          <w:tcPr>
            <w:tcW w:w="3135" w:type="dxa"/>
            <w:shd w:val="clear" w:color="auto" w:fill="F7F8FA"/>
          </w:tcPr>
          <w:p w14:paraId="2D03BF99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3</w:t>
            </w:r>
          </w:p>
        </w:tc>
        <w:tc>
          <w:tcPr>
            <w:tcW w:w="3135" w:type="dxa"/>
            <w:shd w:val="clear" w:color="auto" w:fill="F7F8FA"/>
          </w:tcPr>
          <w:p w14:paraId="03DA17EB" w14:textId="1C996BD6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Tier 2 + HOI (Hand Object Interaction)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frame-by-frame log of which hand, which object, grip type, and contact state for the full video duration.</w:t>
            </w:r>
          </w:p>
        </w:tc>
        <w:tc>
          <w:tcPr>
            <w:tcW w:w="3135" w:type="dxa"/>
            <w:shd w:val="clear" w:color="auto" w:fill="F7F8FA"/>
          </w:tcPr>
          <w:p w14:paraId="60D442D9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Grasp learning, dexterous manipulation, fine-grained task modeling.</w:t>
            </w:r>
          </w:p>
        </w:tc>
      </w:tr>
      <w:tr w:rsidR="007F33A7" w14:paraId="27AF86A5" w14:textId="77777777">
        <w:tc>
          <w:tcPr>
            <w:tcW w:w="3135" w:type="dxa"/>
            <w:shd w:val="clear" w:color="auto" w:fill="FFFFFF"/>
          </w:tcPr>
          <w:p w14:paraId="32F70DA1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t>Tier 4</w:t>
            </w:r>
          </w:p>
        </w:tc>
        <w:tc>
          <w:tcPr>
            <w:tcW w:w="3135" w:type="dxa"/>
            <w:shd w:val="clear" w:color="auto" w:fill="FFFFFF"/>
          </w:tcPr>
          <w:p w14:paraId="4AD298BA" w14:textId="2C5E51C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Tier 3 + phase decomposition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reach, grasp, manipulate, and release </w:t>
            </w:r>
            <w:r>
              <w:rPr>
                <w:rFonts w:ascii="Calibri" w:hAnsi="Calibri"/>
                <w:color w:val="232832"/>
                <w:sz w:val="19"/>
              </w:rPr>
              <w:lastRenderedPageBreak/>
              <w:t>boundaries labeled for every action segment.</w:t>
            </w:r>
          </w:p>
        </w:tc>
        <w:tc>
          <w:tcPr>
            <w:tcW w:w="3135" w:type="dxa"/>
            <w:shd w:val="clear" w:color="auto" w:fill="FFFFFF"/>
          </w:tcPr>
          <w:p w14:paraId="0C39FD1A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lastRenderedPageBreak/>
              <w:t xml:space="preserve">Robot arm policy learning, phase-conditioned planning, sim-to-real </w:t>
            </w:r>
            <w:r>
              <w:rPr>
                <w:rFonts w:ascii="Calibri" w:hAnsi="Calibri"/>
                <w:color w:val="232832"/>
                <w:sz w:val="19"/>
              </w:rPr>
              <w:lastRenderedPageBreak/>
              <w:t>transfer.</w:t>
            </w:r>
          </w:p>
        </w:tc>
      </w:tr>
      <w:tr w:rsidR="007F33A7" w14:paraId="18F8549E" w14:textId="77777777">
        <w:tc>
          <w:tcPr>
            <w:tcW w:w="3135" w:type="dxa"/>
            <w:shd w:val="clear" w:color="auto" w:fill="F7F8FA"/>
          </w:tcPr>
          <w:p w14:paraId="13CD2443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7A2F"/>
                <w:sz w:val="19"/>
              </w:rPr>
              <w:lastRenderedPageBreak/>
              <w:t>Tier 5</w:t>
            </w:r>
          </w:p>
        </w:tc>
        <w:tc>
          <w:tcPr>
            <w:tcW w:w="3135" w:type="dxa"/>
            <w:shd w:val="clear" w:color="auto" w:fill="F7F8FA"/>
          </w:tcPr>
          <w:p w14:paraId="3FF4DA48" w14:textId="32B3648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Tier 4 + post-hoc gaze estimation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fixation regions estimated from head pose (OpenFace 2.0) and saliency models (GazeTR). Flagged with method and confidence score. Not hardware-precise gaze.</w:t>
            </w:r>
          </w:p>
        </w:tc>
        <w:tc>
          <w:tcPr>
            <w:tcW w:w="3135" w:type="dxa"/>
            <w:shd w:val="clear" w:color="auto" w:fill="F7F8FA"/>
          </w:tcPr>
          <w:p w14:paraId="2F66E1FC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Attention modeling, gaze-informed policy research. Note: estimated regions, not exact coordinates.</w:t>
            </w:r>
          </w:p>
        </w:tc>
      </w:tr>
    </w:tbl>
    <w:p w14:paraId="09D30399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ANNOTATION TYPES</w:t>
      </w:r>
    </w:p>
    <w:p w14:paraId="7F3DC205" w14:textId="77777777" w:rsidR="007F33A7" w:rsidRDefault="00000000">
      <w:pPr>
        <w:spacing w:after="100"/>
      </w:pPr>
      <w:r>
        <w:rPr>
          <w:rFonts w:ascii="Calibri" w:hAnsi="Calibri"/>
          <w:color w:val="232832"/>
          <w:sz w:val="20"/>
        </w:rPr>
        <w:t>All annotation types are delivered as structured JSON, one file per video with each type under a separate key. Files link via video ID and frame number.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4"/>
        <w:gridCol w:w="7200"/>
      </w:tblGrid>
      <w:tr w:rsidR="007F33A7" w14:paraId="293316CF" w14:textId="77777777">
        <w:tc>
          <w:tcPr>
            <w:tcW w:w="2304" w:type="dxa"/>
            <w:shd w:val="clear" w:color="auto" w:fill="FF7A2F"/>
          </w:tcPr>
          <w:p w14:paraId="7F4937EB" w14:textId="77777777" w:rsidR="007F33A7" w:rsidRDefault="00000000">
            <w:r>
              <w:rPr>
                <w:rFonts w:ascii="Calibri" w:hAnsi="Calibri"/>
                <w:b/>
                <w:color w:val="FFFFFF"/>
                <w:sz w:val="19"/>
              </w:rPr>
              <w:t>Annotation Type</w:t>
            </w:r>
          </w:p>
        </w:tc>
        <w:tc>
          <w:tcPr>
            <w:tcW w:w="7200" w:type="dxa"/>
            <w:shd w:val="clear" w:color="auto" w:fill="FF7A2F"/>
          </w:tcPr>
          <w:p w14:paraId="36F3272F" w14:textId="77777777" w:rsidR="007F33A7" w:rsidRDefault="00000000"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7F33A7" w14:paraId="4DE62DD3" w14:textId="77777777">
        <w:tc>
          <w:tcPr>
            <w:tcW w:w="2304" w:type="dxa"/>
            <w:shd w:val="clear" w:color="auto" w:fill="F7F8FA"/>
          </w:tcPr>
          <w:p w14:paraId="27FEC9C9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Narration</w:t>
            </w:r>
          </w:p>
        </w:tc>
        <w:tc>
          <w:tcPr>
            <w:tcW w:w="7200" w:type="dxa"/>
            <w:shd w:val="clear" w:color="auto" w:fill="F7F8FA"/>
          </w:tcPr>
          <w:p w14:paraId="748FDB8A" w14:textId="3BA76E76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Timestamped free-text description spoken by the contributor as they record. Synchronized to video. Primary annotation layer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captures intent and context in the contributor's own words.</w:t>
            </w:r>
          </w:p>
        </w:tc>
      </w:tr>
      <w:tr w:rsidR="007F33A7" w14:paraId="26C4C44F" w14:textId="77777777">
        <w:tc>
          <w:tcPr>
            <w:tcW w:w="2304" w:type="dxa"/>
            <w:shd w:val="clear" w:color="auto" w:fill="FFFFFF"/>
          </w:tcPr>
          <w:p w14:paraId="1278D8B0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Action Segments</w:t>
            </w:r>
          </w:p>
        </w:tc>
        <w:tc>
          <w:tcPr>
            <w:tcW w:w="7200" w:type="dxa"/>
            <w:shd w:val="clear" w:color="auto" w:fill="FFFFFF"/>
          </w:tcPr>
          <w:p w14:paraId="411D9408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Start/end timestamps + verb + noun for each notable action. Format: pick up [screwdriver] 00:01-00:08. Compatible with EPIC-Kitchens annotation schema. Verb and noun class IDs available on request.</w:t>
            </w:r>
          </w:p>
        </w:tc>
      </w:tr>
      <w:tr w:rsidR="007F33A7" w14:paraId="390B85AC" w14:textId="77777777">
        <w:tc>
          <w:tcPr>
            <w:tcW w:w="2304" w:type="dxa"/>
            <w:shd w:val="clear" w:color="auto" w:fill="F7F8FA"/>
          </w:tcPr>
          <w:p w14:paraId="65ABD686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Object Labels</w:t>
            </w:r>
          </w:p>
        </w:tc>
        <w:tc>
          <w:tcPr>
            <w:tcW w:w="7200" w:type="dxa"/>
            <w:shd w:val="clear" w:color="auto" w:fill="F7F8FA"/>
          </w:tcPr>
          <w:p w14:paraId="0C51CBFE" w14:textId="0390669E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Categorical classification of objects visible in the scene. Separate from bounding boxes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labels the class of each object (screwdriver, bolt, PCB, packaging unit) without requiring spatial localization. Used for object vocabulary building and scene understanding.</w:t>
            </w:r>
          </w:p>
        </w:tc>
      </w:tr>
      <w:tr w:rsidR="007F33A7" w14:paraId="366D0142" w14:textId="77777777">
        <w:tc>
          <w:tcPr>
            <w:tcW w:w="2304" w:type="dxa"/>
            <w:shd w:val="clear" w:color="auto" w:fill="FFFFFF"/>
          </w:tcPr>
          <w:p w14:paraId="0A13EC62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Object State Change</w:t>
            </w:r>
          </w:p>
        </w:tc>
        <w:tc>
          <w:tcPr>
            <w:tcW w:w="7200" w:type="dxa"/>
            <w:shd w:val="clear" w:color="auto" w:fill="FFFFFF"/>
          </w:tcPr>
          <w:p w14:paraId="3960175C" w14:textId="5F75D77E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Before/after state of objects touched during each action. Example: bolt (loose to tight), drawer (closed to open). Requires human judgment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not derivable from video alone.</w:t>
            </w:r>
          </w:p>
        </w:tc>
      </w:tr>
      <w:tr w:rsidR="007F33A7" w14:paraId="46181305" w14:textId="77777777">
        <w:tc>
          <w:tcPr>
            <w:tcW w:w="2304" w:type="dxa"/>
            <w:shd w:val="clear" w:color="auto" w:fill="F7F8FA"/>
          </w:tcPr>
          <w:p w14:paraId="0ED61CD8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Task State Labels</w:t>
            </w:r>
          </w:p>
        </w:tc>
        <w:tc>
          <w:tcPr>
            <w:tcW w:w="7200" w:type="dxa"/>
            <w:shd w:val="clear" w:color="auto" w:fill="F7F8FA"/>
          </w:tcPr>
          <w:p w14:paraId="471D321B" w14:textId="0BB32869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Overall task progress state at each moment: setup, in_progress, complete, or failed. Coarser than action segments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captures the task-level arc rather than individual actions. Useful for task completion modeling and progress estimation.</w:t>
            </w:r>
          </w:p>
        </w:tc>
      </w:tr>
      <w:tr w:rsidR="007F33A7" w14:paraId="431B52F8" w14:textId="77777777">
        <w:tc>
          <w:tcPr>
            <w:tcW w:w="2304" w:type="dxa"/>
            <w:shd w:val="clear" w:color="auto" w:fill="FFFFFF"/>
          </w:tcPr>
          <w:p w14:paraId="249E7F29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Failure Event Labels</w:t>
            </w:r>
          </w:p>
        </w:tc>
        <w:tc>
          <w:tcPr>
            <w:tcW w:w="7200" w:type="dxa"/>
            <w:shd w:val="clear" w:color="auto" w:fill="FFFFFF"/>
          </w:tcPr>
          <w:p w14:paraId="6F810149" w14:textId="7C333D41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Timestamped markers for errors and failures during task execution: dropped object, wrong sequence, incorrect assembly, tool slip. Failure signal is as important as success signal for robot learning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models trained only on successful demonstrations generalize poorly to real deployment.</w:t>
            </w:r>
          </w:p>
        </w:tc>
      </w:tr>
      <w:tr w:rsidR="007F33A7" w14:paraId="0B0DA04D" w14:textId="77777777">
        <w:tc>
          <w:tcPr>
            <w:tcW w:w="2304" w:type="dxa"/>
            <w:shd w:val="clear" w:color="auto" w:fill="F7F8FA"/>
          </w:tcPr>
          <w:p w14:paraId="0A4ABAE8" w14:textId="2C7340AD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 xml:space="preserve">HOI </w:t>
            </w:r>
            <w:r w:rsidR="00C0662A">
              <w:rPr>
                <w:rFonts w:ascii="Calibri" w:hAnsi="Calibri"/>
                <w:b/>
                <w:color w:val="28508C"/>
                <w:sz w:val="19"/>
              </w:rPr>
              <w:t>-</w:t>
            </w:r>
            <w:r>
              <w:rPr>
                <w:rFonts w:ascii="Calibri" w:hAnsi="Calibri"/>
                <w:b/>
                <w:color w:val="28508C"/>
                <w:sz w:val="19"/>
              </w:rPr>
              <w:t xml:space="preserve"> Hand Object Interaction</w:t>
            </w:r>
          </w:p>
        </w:tc>
        <w:tc>
          <w:tcPr>
            <w:tcW w:w="7200" w:type="dxa"/>
            <w:shd w:val="clear" w:color="auto" w:fill="F7F8FA"/>
          </w:tcPr>
          <w:p w14:paraId="6FF0FC58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Continuous frame-by-frame log for the full video: which hand (left/right), which object, grip type (power, precision, pinch, stabilize), and contact state (true/false). Runs from first frame to last.</w:t>
            </w:r>
          </w:p>
        </w:tc>
      </w:tr>
      <w:tr w:rsidR="007F33A7" w14:paraId="141A26ED" w14:textId="77777777">
        <w:tc>
          <w:tcPr>
            <w:tcW w:w="2304" w:type="dxa"/>
            <w:shd w:val="clear" w:color="auto" w:fill="FFFFFF"/>
          </w:tcPr>
          <w:p w14:paraId="24CB65D8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Bounding Boxes</w:t>
            </w:r>
          </w:p>
        </w:tc>
        <w:tc>
          <w:tcPr>
            <w:tcW w:w="7200" w:type="dxa"/>
            <w:shd w:val="clear" w:color="auto" w:fill="FFFFFF"/>
          </w:tcPr>
          <w:p w14:paraId="2A0EC7F7" w14:textId="743F180D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 xml:space="preserve">Rectangular spatial localization of objects per frame. Sparse (key events only) or dense (every N frames) </w:t>
            </w:r>
            <w:r w:rsidR="00C0662A">
              <w:rPr>
                <w:rFonts w:ascii="Calibri" w:hAnsi="Calibri"/>
                <w:color w:val="232832"/>
                <w:sz w:val="19"/>
              </w:rPr>
              <w:t>-</w:t>
            </w:r>
            <w:r>
              <w:rPr>
                <w:rFonts w:ascii="Calibri" w:hAnsi="Calibri"/>
                <w:color w:val="232832"/>
                <w:sz w:val="19"/>
              </w:rPr>
              <w:t xml:space="preserve"> specified at project brief. Format: [x, y, width, height] per frame.</w:t>
            </w:r>
          </w:p>
        </w:tc>
      </w:tr>
      <w:tr w:rsidR="007F33A7" w14:paraId="2A2931FE" w14:textId="77777777">
        <w:tc>
          <w:tcPr>
            <w:tcW w:w="2304" w:type="dxa"/>
            <w:shd w:val="clear" w:color="auto" w:fill="F7F8FA"/>
          </w:tcPr>
          <w:p w14:paraId="4A53FD8E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Keypoints</w:t>
            </w:r>
          </w:p>
        </w:tc>
        <w:tc>
          <w:tcPr>
            <w:tcW w:w="7200" w:type="dxa"/>
            <w:shd w:val="clear" w:color="auto" w:fill="F7F8FA"/>
          </w:tcPr>
          <w:p w14:paraId="133317EA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21-point hand landmark model per frame. Captures wrist, finger joints, and fingertip positions. Used for grip classification, pose estimation, and dexterous manipulation training.</w:t>
            </w:r>
          </w:p>
        </w:tc>
      </w:tr>
      <w:tr w:rsidR="007F33A7" w14:paraId="3B691B1B" w14:textId="77777777">
        <w:tc>
          <w:tcPr>
            <w:tcW w:w="2304" w:type="dxa"/>
            <w:shd w:val="clear" w:color="auto" w:fill="FFFFFF"/>
          </w:tcPr>
          <w:p w14:paraId="096FA9C7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Gaze (post-hoc estimated)</w:t>
            </w:r>
          </w:p>
        </w:tc>
        <w:tc>
          <w:tcPr>
            <w:tcW w:w="7200" w:type="dxa"/>
            <w:shd w:val="clear" w:color="auto" w:fill="FFFFFF"/>
          </w:tcPr>
          <w:p w14:paraId="1BD0FC3B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Fixation regions estimated from head pose (OpenFace 2.0) combined with visual saliency models (GazeTR / L2CS-Net). Outputs estimated gaze region per frame, not precise x/y coordinates. All outputs flagged with method: "post_hoc_estimation" and a confidence score in the JSON. Suitable for attention modeling research; not a substitute for hardware gaze.</w:t>
            </w:r>
          </w:p>
        </w:tc>
      </w:tr>
      <w:tr w:rsidR="007F33A7" w14:paraId="1FDD4182" w14:textId="77777777">
        <w:tc>
          <w:tcPr>
            <w:tcW w:w="2304" w:type="dxa"/>
            <w:shd w:val="clear" w:color="auto" w:fill="F7F8FA"/>
          </w:tcPr>
          <w:p w14:paraId="4A41B313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8508C"/>
                <w:sz w:val="19"/>
              </w:rPr>
              <w:t>Environment Metadata</w:t>
            </w:r>
          </w:p>
        </w:tc>
        <w:tc>
          <w:tcPr>
            <w:tcW w:w="7200" w:type="dxa"/>
            <w:shd w:val="clear" w:color="auto" w:fill="F7F8FA"/>
          </w:tcPr>
          <w:p w14:paraId="557FB8B1" w14:textId="77777777" w:rsidR="007F33A7" w:rsidRDefault="00000000">
            <w:pPr>
              <w:spacing w:before="40" w:after="40"/>
            </w:pPr>
            <w:r>
              <w:rPr>
                <w:rFonts w:ascii="Calibri" w:hAnsi="Calibri"/>
                <w:color w:val="232832"/>
                <w:sz w:val="19"/>
              </w:rPr>
              <w:t>JSON sidecar per video capturing recording conditions: lighting type (natural/artificial/mixed), lighting level (bright/dim/low), surface type (workbench/floor/conveyor), environment category (auto assembly/electronics/pharma/domestic), camera mount height, ambient noise level, and number of people visible. Collected at recording time or added by QA reviewer.</w:t>
            </w:r>
          </w:p>
        </w:tc>
      </w:tr>
    </w:tbl>
    <w:p w14:paraId="0626DE97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ENVIRONMENTS &amp; SETTINGS</w:t>
      </w:r>
    </w:p>
    <w:p w14:paraId="1C35E97A" w14:textId="65B8A6B6" w:rsidR="007F33A7" w:rsidRDefault="00000000">
      <w:pPr>
        <w:spacing w:after="140"/>
      </w:pPr>
      <w:r>
        <w:rPr>
          <w:rFonts w:ascii="Calibri" w:hAnsi="Calibri"/>
          <w:color w:val="232832"/>
          <w:sz w:val="20"/>
        </w:rPr>
        <w:lastRenderedPageBreak/>
        <w:t xml:space="preserve">Current collection environments: auto components assembly, electronics assembly, pharma packaging. All settings are real operational manufacturing floors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not staged or simulated. Domestic and residential collection also available for home robotics and general embodied AI use cases.</w:t>
      </w:r>
    </w:p>
    <w:p w14:paraId="5B4A9DA6" w14:textId="7D8D009F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Factory floor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assembly lines, quality inspection, packaging operations, tooling and maintenance tasks.</w:t>
      </w:r>
    </w:p>
    <w:p w14:paraId="588EC936" w14:textId="1B5A3F53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Domestic / residential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kitchen tasks, cleaning, organizing, appliance use, household maintenance.</w:t>
      </w:r>
    </w:p>
    <w:p w14:paraId="78CA09A2" w14:textId="4CE7DCDB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Custom environments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available on request with 4-6 week lead time for contributor briefing and access setup.</w:t>
      </w:r>
    </w:p>
    <w:p w14:paraId="79E09711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WHY INDIAN DATA FOR PHYSICAL AI</w:t>
      </w:r>
    </w:p>
    <w:p w14:paraId="656F679C" w14:textId="739E8BF8" w:rsidR="007F33A7" w:rsidRPr="00C0662A" w:rsidRDefault="00C0662A" w:rsidP="00C0662A">
      <w:pPr>
        <w:pStyle w:val="ListBullet"/>
        <w:spacing w:before="20" w:after="60"/>
        <w:ind w:left="259"/>
        <w:rPr>
          <w:rFonts w:asciiTheme="majorHAnsi" w:hAnsiTheme="majorHAnsi" w:cstheme="majorHAnsi"/>
        </w:rPr>
      </w:pPr>
      <w:r w:rsidRPr="00C0662A">
        <w:rPr>
          <w:rFonts w:asciiTheme="majorHAnsi" w:hAnsiTheme="majorHAnsi" w:cstheme="majorHAnsi"/>
          <w:b/>
          <w:bCs/>
        </w:rPr>
        <w:t>India's manual-</w:t>
      </w:r>
      <w:proofErr w:type="spellStart"/>
      <w:r w:rsidRPr="00C0662A">
        <w:rPr>
          <w:rFonts w:asciiTheme="majorHAnsi" w:hAnsiTheme="majorHAnsi" w:cstheme="majorHAnsi"/>
          <w:b/>
          <w:bCs/>
        </w:rPr>
        <w:t>labour</w:t>
      </w:r>
      <w:proofErr w:type="spellEnd"/>
      <w:r w:rsidRPr="00C0662A">
        <w:rPr>
          <w:rFonts w:asciiTheme="majorHAnsi" w:hAnsiTheme="majorHAnsi" w:cstheme="majorHAnsi"/>
          <w:b/>
          <w:bCs/>
        </w:rPr>
        <w:t xml:space="preserve"> workflows are the training target </w:t>
      </w:r>
      <w:r>
        <w:rPr>
          <w:rFonts w:asciiTheme="majorHAnsi" w:hAnsiTheme="majorHAnsi" w:cstheme="majorHAnsi"/>
        </w:rPr>
        <w:t>-</w:t>
      </w:r>
      <w:r w:rsidRPr="00C0662A">
        <w:rPr>
          <w:rFonts w:asciiTheme="majorHAnsi" w:hAnsiTheme="majorHAnsi" w:cstheme="majorHAnsi"/>
        </w:rPr>
        <w:t xml:space="preserve"> the assembly, packaging, and inspection tasks that Indian factory workers perform daily are exactly the task demonstrations industrial robots need to learn, regardless of deployment geography.</w:t>
      </w:r>
    </w:p>
    <w:p w14:paraId="7DE6A954" w14:textId="04B6B31C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Generic bulk data is </w:t>
      </w:r>
      <w:proofErr w:type="spellStart"/>
      <w:r>
        <w:rPr>
          <w:rFonts w:ascii="Calibri" w:hAnsi="Calibri"/>
          <w:b/>
          <w:color w:val="232832"/>
          <w:sz w:val="20"/>
        </w:rPr>
        <w:t>commoditised</w:t>
      </w:r>
      <w:proofErr w:type="spellEnd"/>
      <w:r>
        <w:rPr>
          <w:rFonts w:ascii="Calibri" w:hAnsi="Calibri"/>
          <w:b/>
          <w:color w:val="232832"/>
          <w:sz w:val="20"/>
        </w:rPr>
        <w:t xml:space="preserve">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free datasets (Build AI Egocentric-100K, Ego4D) have floored the price floor for generic footage. What labs actually pay for is task-specific, environment-specific, consent-clean data from specific deployment environments.</w:t>
      </w:r>
    </w:p>
    <w:p w14:paraId="14FAFDAB" w14:textId="143F7539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Cost advantage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India-based collection and annotation at a fraction of US or EU rates, without compromising on quality or legal standards.</w:t>
      </w:r>
    </w:p>
    <w:p w14:paraId="7BE2503A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DATA COMPLIANCE &amp; LEGAL</w:t>
      </w:r>
    </w:p>
    <w:p w14:paraId="342CA95F" w14:textId="233EBF3B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Consent framework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employer-level consent covering all contributors, not just individual sign-offs. Legally defensible for lab use and downstream redistribution.</w:t>
      </w:r>
    </w:p>
    <w:p w14:paraId="306A755C" w14:textId="27FBF055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PII by design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egocentric (head-mounted) recording means contributor faces are not captured. No names in narration. Properly collected footage falls outside DPDP personal data provisions entirely.</w:t>
      </w:r>
    </w:p>
    <w:p w14:paraId="4AA5C149" w14:textId="307E8325" w:rsidR="007F33A7" w:rsidRDefault="00000000">
      <w:pPr>
        <w:pStyle w:val="ListBullet"/>
        <w:spacing w:before="20" w:after="60"/>
        <w:ind w:left="259"/>
      </w:pPr>
      <w:r>
        <w:rPr>
          <w:rFonts w:ascii="Calibri" w:hAnsi="Calibri"/>
          <w:b/>
          <w:color w:val="232832"/>
          <w:sz w:val="20"/>
        </w:rPr>
        <w:t xml:space="preserve">IP ownership </w:t>
      </w:r>
      <w:r w:rsidR="00C0662A">
        <w:rPr>
          <w:rFonts w:ascii="Calibri" w:hAnsi="Calibri"/>
          <w:color w:val="232832"/>
          <w:sz w:val="20"/>
        </w:rPr>
        <w:t>-</w:t>
      </w:r>
      <w:r>
        <w:rPr>
          <w:rFonts w:ascii="Calibri" w:hAnsi="Calibri"/>
          <w:color w:val="232832"/>
          <w:sz w:val="20"/>
        </w:rPr>
        <w:t xml:space="preserve"> all footage and annotation is work-for-hire. Full IP transfers to the client on delivery.</w:t>
      </w:r>
    </w:p>
    <w:p w14:paraId="53F4E436" w14:textId="77777777" w:rsidR="007F33A7" w:rsidRDefault="00000000">
      <w:pPr>
        <w:spacing w:before="320" w:after="100"/>
      </w:pPr>
      <w:r>
        <w:rPr>
          <w:rFonts w:ascii="Calibri" w:hAnsi="Calibri"/>
          <w:b/>
          <w:color w:val="FF7A2F"/>
          <w:sz w:val="17"/>
        </w:rPr>
        <w:t>CAPABILITIES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4"/>
        <w:gridCol w:w="7200"/>
      </w:tblGrid>
      <w:tr w:rsidR="007F33A7" w14:paraId="450477F5" w14:textId="77777777">
        <w:tc>
          <w:tcPr>
            <w:tcW w:w="2304" w:type="dxa"/>
            <w:shd w:val="clear" w:color="auto" w:fill="F7F8FA"/>
          </w:tcPr>
          <w:p w14:paraId="74E3CB86" w14:textId="77777777" w:rsidR="007F33A7" w:rsidRDefault="00000000">
            <w:pPr>
              <w:spacing w:before="60" w:after="60"/>
            </w:pPr>
            <w:r>
              <w:rPr>
                <w:rFonts w:ascii="Calibri" w:hAnsi="Calibri"/>
                <w:b/>
                <w:color w:val="28508C"/>
                <w:sz w:val="20"/>
              </w:rPr>
              <w:t>Languages</w:t>
            </w:r>
          </w:p>
        </w:tc>
        <w:tc>
          <w:tcPr>
            <w:tcW w:w="7200" w:type="dxa"/>
            <w:shd w:val="clear" w:color="auto" w:fill="F7F8FA"/>
          </w:tcPr>
          <w:p w14:paraId="6203C0B3" w14:textId="0D496150" w:rsidR="007F33A7" w:rsidRDefault="00C0662A">
            <w:pPr>
              <w:spacing w:before="60" w:after="60"/>
            </w:pPr>
            <w:r>
              <w:rPr>
                <w:rFonts w:ascii="Calibri" w:hAnsi="Calibri"/>
                <w:color w:val="232832"/>
                <w:sz w:val="20"/>
              </w:rPr>
              <w:t xml:space="preserve">English, </w:t>
            </w:r>
            <w:r w:rsidR="00000000">
              <w:rPr>
                <w:rFonts w:ascii="Calibri" w:hAnsi="Calibri"/>
                <w:color w:val="232832"/>
                <w:sz w:val="20"/>
              </w:rPr>
              <w:t xml:space="preserve">Hindi, Bengali, Odia, Tamil, Kannada, Gujarati, Punjabi, Marathi, Nepali, Bhojpuri, Assamese, Manipuri </w:t>
            </w:r>
            <w:r>
              <w:rPr>
                <w:rFonts w:ascii="Calibri" w:hAnsi="Calibri"/>
                <w:color w:val="232832"/>
                <w:sz w:val="20"/>
              </w:rPr>
              <w:t>-</w:t>
            </w:r>
            <w:r w:rsidR="00000000">
              <w:rPr>
                <w:rFonts w:ascii="Calibri" w:hAnsi="Calibri"/>
                <w:color w:val="232832"/>
                <w:sz w:val="20"/>
              </w:rPr>
              <w:t xml:space="preserve"> 13 languages across all major Indian regions.</w:t>
            </w:r>
          </w:p>
        </w:tc>
      </w:tr>
      <w:tr w:rsidR="007F33A7" w14:paraId="2F6929F2" w14:textId="77777777">
        <w:tc>
          <w:tcPr>
            <w:tcW w:w="2304" w:type="dxa"/>
            <w:shd w:val="clear" w:color="auto" w:fill="FFFFFF"/>
          </w:tcPr>
          <w:p w14:paraId="577ABF2E" w14:textId="77777777" w:rsidR="007F33A7" w:rsidRDefault="00000000">
            <w:pPr>
              <w:spacing w:before="60" w:after="60"/>
            </w:pPr>
            <w:r>
              <w:rPr>
                <w:rFonts w:ascii="Calibri" w:hAnsi="Calibri"/>
                <w:b/>
                <w:color w:val="28508C"/>
                <w:sz w:val="20"/>
              </w:rPr>
              <w:t>Regions</w:t>
            </w:r>
          </w:p>
        </w:tc>
        <w:tc>
          <w:tcPr>
            <w:tcW w:w="7200" w:type="dxa"/>
            <w:shd w:val="clear" w:color="auto" w:fill="FFFFFF"/>
          </w:tcPr>
          <w:p w14:paraId="1B052500" w14:textId="2496A1F7" w:rsidR="007F33A7" w:rsidRDefault="00000000">
            <w:pPr>
              <w:spacing w:before="60" w:after="60"/>
            </w:pPr>
            <w:r>
              <w:rPr>
                <w:rFonts w:ascii="Calibri" w:hAnsi="Calibri"/>
                <w:color w:val="232832"/>
                <w:sz w:val="20"/>
              </w:rPr>
              <w:t xml:space="preserve">India: Active. SEA: </w:t>
            </w:r>
            <w:r w:rsidR="00C0662A">
              <w:rPr>
                <w:rFonts w:ascii="Calibri" w:hAnsi="Calibri"/>
                <w:color w:val="232832"/>
                <w:sz w:val="20"/>
              </w:rPr>
              <w:t>Executable</w:t>
            </w:r>
          </w:p>
        </w:tc>
      </w:tr>
      <w:tr w:rsidR="007F33A7" w14:paraId="210B20F0" w14:textId="77777777">
        <w:tc>
          <w:tcPr>
            <w:tcW w:w="2304" w:type="dxa"/>
            <w:shd w:val="clear" w:color="auto" w:fill="F7F8FA"/>
          </w:tcPr>
          <w:p w14:paraId="707B048C" w14:textId="77777777" w:rsidR="007F33A7" w:rsidRDefault="00000000">
            <w:pPr>
              <w:spacing w:before="60" w:after="60"/>
            </w:pPr>
            <w:r>
              <w:rPr>
                <w:rFonts w:ascii="Calibri" w:hAnsi="Calibri"/>
                <w:b/>
                <w:color w:val="28508C"/>
                <w:sz w:val="20"/>
              </w:rPr>
              <w:t>Project start</w:t>
            </w:r>
          </w:p>
        </w:tc>
        <w:tc>
          <w:tcPr>
            <w:tcW w:w="7200" w:type="dxa"/>
            <w:shd w:val="clear" w:color="auto" w:fill="F7F8FA"/>
          </w:tcPr>
          <w:p w14:paraId="3A6A74AF" w14:textId="77777777" w:rsidR="007F33A7" w:rsidRDefault="00000000">
            <w:pPr>
              <w:spacing w:before="60" w:after="60"/>
            </w:pPr>
            <w:r>
              <w:rPr>
                <w:rFonts w:ascii="Calibri" w:hAnsi="Calibri"/>
                <w:color w:val="232832"/>
                <w:sz w:val="20"/>
              </w:rPr>
              <w:t>Ready to begin within 1-2 weeks of project brief and sample approval.</w:t>
            </w:r>
          </w:p>
        </w:tc>
      </w:tr>
      <w:tr w:rsidR="007F33A7" w14:paraId="05A023D8" w14:textId="77777777">
        <w:tc>
          <w:tcPr>
            <w:tcW w:w="2304" w:type="dxa"/>
            <w:shd w:val="clear" w:color="auto" w:fill="FFFFFF"/>
          </w:tcPr>
          <w:p w14:paraId="42FB55FA" w14:textId="77777777" w:rsidR="007F33A7" w:rsidRDefault="00000000">
            <w:pPr>
              <w:spacing w:before="60" w:after="60"/>
            </w:pPr>
            <w:r>
              <w:rPr>
                <w:rFonts w:ascii="Calibri" w:hAnsi="Calibri"/>
                <w:b/>
                <w:color w:val="28508C"/>
                <w:sz w:val="20"/>
              </w:rPr>
              <w:t>Volume</w:t>
            </w:r>
          </w:p>
        </w:tc>
        <w:tc>
          <w:tcPr>
            <w:tcW w:w="7200" w:type="dxa"/>
            <w:shd w:val="clear" w:color="auto" w:fill="FFFFFF"/>
          </w:tcPr>
          <w:p w14:paraId="3F1E39E7" w14:textId="77777777" w:rsidR="007F33A7" w:rsidRDefault="00000000">
            <w:pPr>
              <w:spacing w:before="60" w:after="60"/>
            </w:pPr>
            <w:r>
              <w:rPr>
                <w:rFonts w:ascii="Calibri" w:hAnsi="Calibri"/>
                <w:color w:val="232832"/>
                <w:sz w:val="20"/>
              </w:rPr>
              <w:t>Pilot runs from 500 approved hours. Scale up to 10,000+ approved hours per month.</w:t>
            </w:r>
          </w:p>
        </w:tc>
      </w:tr>
    </w:tbl>
    <w:p w14:paraId="3E9C89FD" w14:textId="77777777" w:rsidR="007F33A7" w:rsidRDefault="007F33A7">
      <w:pPr>
        <w:spacing w:before="360" w:after="0"/>
      </w:pPr>
    </w:p>
    <w:p w14:paraId="16667665" w14:textId="77777777" w:rsidR="007F33A7" w:rsidRDefault="007F33A7">
      <w:pPr>
        <w:pBdr>
          <w:bottom w:val="single" w:sz="4" w:space="1" w:color="E0E4EE"/>
        </w:pBdr>
        <w:spacing w:after="0"/>
      </w:pPr>
    </w:p>
    <w:p w14:paraId="73D8BF1B" w14:textId="41D0357B" w:rsidR="007F33A7" w:rsidRDefault="007F33A7">
      <w:pPr>
        <w:spacing w:before="200"/>
      </w:pPr>
    </w:p>
    <w:sectPr w:rsidR="007F33A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E8CE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3827506">
    <w:abstractNumId w:val="8"/>
  </w:num>
  <w:num w:numId="2" w16cid:durableId="248931128">
    <w:abstractNumId w:val="6"/>
  </w:num>
  <w:num w:numId="3" w16cid:durableId="417409941">
    <w:abstractNumId w:val="5"/>
  </w:num>
  <w:num w:numId="4" w16cid:durableId="1855463179">
    <w:abstractNumId w:val="4"/>
  </w:num>
  <w:num w:numId="5" w16cid:durableId="1643121909">
    <w:abstractNumId w:val="7"/>
  </w:num>
  <w:num w:numId="6" w16cid:durableId="1464234332">
    <w:abstractNumId w:val="3"/>
  </w:num>
  <w:num w:numId="7" w16cid:durableId="1053890141">
    <w:abstractNumId w:val="2"/>
  </w:num>
  <w:num w:numId="8" w16cid:durableId="1281650154">
    <w:abstractNumId w:val="1"/>
  </w:num>
  <w:num w:numId="9" w16cid:durableId="781680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111C"/>
    <w:rsid w:val="007F33A7"/>
    <w:rsid w:val="00AA1D8D"/>
    <w:rsid w:val="00B47730"/>
    <w:rsid w:val="00C0662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18FAC6"/>
  <w14:defaultImageDpi w14:val="300"/>
  <w15:docId w15:val="{368D58D1-ABE1-4D00-B705-303A9AA23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1173</Words>
  <Characters>6690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chakraborty</cp:lastModifiedBy>
  <cp:revision>2</cp:revision>
  <dcterms:created xsi:type="dcterms:W3CDTF">2013-12-23T23:15:00Z</dcterms:created>
  <dcterms:modified xsi:type="dcterms:W3CDTF">2026-09-14T07:56:00Z</dcterms:modified>
  <cp:category/>
</cp:coreProperties>
</file>