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FF7A2F"/>
          <w:sz w:val="64"/>
        </w:rPr>
        <w:t>QUBE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46E82"/>
          <w:sz w:val="26"/>
        </w:rPr>
        <w:t>India's physical AI data collection company</w:t>
      </w:r>
    </w:p>
    <w:p>
      <w:pPr>
        <w:spacing w:before="0" w:after="0"/>
        <w:pBdr>
          <w:bottom w:val="single" w:sz="6" w:space="1" w:color="FF7A2F"/>
        </w:pBdr>
      </w:pP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WHAT ARE WE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232832"/>
          <w:sz w:val="21"/>
        </w:rPr>
        <w:t>Qube is a data collection company built for physical AI. We source, record, and deliver egocentric (first-person POV) training data from real-world environments in India -- the kind of data that teaches robots and autonomous systems how humans actually move and work.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WHAT WE DO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232832"/>
          <w:sz w:val="21"/>
        </w:rPr>
        <w:t>We run end-to-end data collection projects -- from contributor briefing and recording to QA review and annotation delivery. Our focus is task-specific, environment-specific data from Indian manufacturing settings: auto components, electronics assembly, and pharma packaging.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HOW WE DO IT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In-house execution team </w:t>
      </w:r>
      <w:r>
        <w:rPr>
          <w:rFonts w:ascii="Calibri" w:hAnsi="Calibri"/>
          <w:b w:val="0"/>
          <w:i w:val="0"/>
          <w:color w:val="232832"/>
          <w:sz w:val="21"/>
        </w:rPr>
        <w:t>-- trained contributors with head-mounted rigs, briefed on narration and hand visibility standards.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Factory floor access </w:t>
      </w:r>
      <w:r>
        <w:rPr>
          <w:rFonts w:ascii="Calibri" w:hAnsi="Calibri"/>
          <w:b w:val="0"/>
          <w:i w:val="0"/>
          <w:color w:val="232832"/>
          <w:sz w:val="21"/>
        </w:rPr>
        <w:t>-- direct relationships with manufacturing facilities across India, with employer-level consent frameworks.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Structured QA pipeline </w:t>
      </w:r>
      <w:r>
        <w:rPr>
          <w:rFonts w:ascii="Calibri" w:hAnsi="Calibri"/>
          <w:b w:val="0"/>
          <w:i w:val="0"/>
          <w:color w:val="232832"/>
          <w:sz w:val="21"/>
        </w:rPr>
        <w:t>-- every video reviewed against narration quality, PII checks, hand visibility, and file standards before delivery.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Annotation </w:t>
      </w:r>
      <w:r>
        <w:rPr>
          <w:rFonts w:ascii="Calibri" w:hAnsi="Calibri"/>
          <w:b w:val="0"/>
          <w:i w:val="0"/>
          <w:color w:val="232832"/>
          <w:sz w:val="21"/>
        </w:rPr>
        <w:t>-- temporal/action labels, object annotation, pose/keypoint, and task state labels on top of raw footage.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WHY CHOOSE US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Cost advantage </w:t>
      </w:r>
      <w:r>
        <w:rPr>
          <w:rFonts w:ascii="Calibri" w:hAnsi="Calibri"/>
          <w:b w:val="0"/>
          <w:i w:val="0"/>
          <w:color w:val="232832"/>
          <w:sz w:val="21"/>
        </w:rPr>
        <w:t>-- India-based execution at a fraction of US or EU collection rates, without compromising on quality or consent standards.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India manual-labour workflows are the training target </w:t>
      </w:r>
      <w:r>
        <w:rPr>
          <w:rFonts w:ascii="Calibri" w:hAnsi="Calibri"/>
          <w:b w:val="0"/>
          <w:i w:val="0"/>
          <w:color w:val="232832"/>
          <w:sz w:val="21"/>
        </w:rPr>
        <w:t>-- the assembly, packaging, and inspection tasks Indian factory workers perform daily are exactly the task demonstrations industrial robots need, regardless of deployment geography.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Task-specific by design </w:t>
      </w:r>
      <w:r>
        <w:rPr>
          <w:rFonts w:ascii="Calibri" w:hAnsi="Calibri"/>
          <w:b w:val="0"/>
          <w:i w:val="0"/>
          <w:color w:val="232832"/>
          <w:sz w:val="21"/>
        </w:rPr>
        <w:t>-- every project is structured around specific robot task demonstrations, not generic footage that AI labs have to filter through.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DPDP-compliant </w:t>
      </w:r>
      <w:r>
        <w:rPr>
          <w:rFonts w:ascii="Calibri" w:hAnsi="Calibri"/>
          <w:b w:val="0"/>
          <w:i w:val="0"/>
          <w:color w:val="232832"/>
          <w:sz w:val="21"/>
        </w:rPr>
        <w:t>-- employer-level consent frameworks, PII-free by design. Egocentric data collected and transferred in full compliance with India's Digital Personal Data Protection Act.</w:t>
      </w:r>
    </w:p>
    <w:p>
      <w:pPr>
        <w:pStyle w:val="ListBullet"/>
        <w:spacing w:before="40" w:after="40"/>
        <w:ind w:left="288"/>
      </w:pPr>
      <w:r>
        <w:rPr>
          <w:rFonts w:ascii="Calibri" w:hAnsi="Calibri"/>
          <w:b/>
          <w:i w:val="0"/>
          <w:color w:val="232832"/>
          <w:sz w:val="21"/>
        </w:rPr>
        <w:t xml:space="preserve">Fast pilots </w:t>
      </w:r>
      <w:r>
        <w:rPr>
          <w:rFonts w:ascii="Calibri" w:hAnsi="Calibri"/>
          <w:b w:val="0"/>
          <w:i w:val="0"/>
          <w:color w:val="232832"/>
          <w:sz w:val="21"/>
        </w:rPr>
        <w:t>-- low-commitment entry point to validate quality before committing to scale.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ANNOTATION TYPES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32832"/>
          <w:sz w:val="20"/>
        </w:rPr>
        <w:t>Narration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Action Segments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Object Labels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Object State Change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Task State Labels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Failure Event Labels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HOI (Hand Object Interaction)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Bounding Boxes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Keypoints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Gaze (Post-hoc Estimated)</w:t>
      </w:r>
      <w:r>
        <w:rPr>
          <w:rFonts w:ascii="Calibri" w:hAnsi="Calibri"/>
          <w:b w:val="0"/>
          <w:i w:val="0"/>
          <w:color w:val="B4B9C3"/>
          <w:sz w:val="20"/>
        </w:rPr>
        <w:t xml:space="preserve">  |  </w:t>
      </w:r>
      <w:r>
        <w:rPr>
          <w:rFonts w:ascii="Calibri" w:hAnsi="Calibri"/>
          <w:b w:val="0"/>
          <w:i w:val="0"/>
          <w:color w:val="232832"/>
          <w:sz w:val="20"/>
        </w:rPr>
        <w:t>Environment Metadata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DATA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FF7A2F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3022"/>
            <w:shd w:val="clear" w:color="auto" w:fill="FF7A2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Is Included</w:t>
            </w:r>
          </w:p>
        </w:tc>
        <w:tc>
          <w:tcPr>
            <w:tcW w:type="dxa" w:w="3022"/>
            <w:shd w:val="clear" w:color="auto" w:fill="FF7A2F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Price Range</w:t>
            </w:r>
          </w:p>
        </w:tc>
      </w:tr>
      <w:tr>
        <w:tc>
          <w:tcPr>
            <w:tcW w:type="dxa" w:w="3022"/>
            <w:shd w:val="clear" w:color="auto" w:fill="F7F8FA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1</w:t>
            </w:r>
          </w:p>
        </w:tc>
        <w:tc>
          <w:tcPr>
            <w:tcW w:type="dxa" w:w="3022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Raw narrated egocentric video, QA-passed for hand visibility, PII, and narration quality.</w:t>
            </w:r>
          </w:p>
        </w:tc>
        <w:tc>
          <w:tcPr>
            <w:tcW w:type="dxa" w:w="3022"/>
            <w:shd w:val="clear" w:color="auto" w:fill="F7F8FA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19"/>
              </w:rPr>
              <w:t>$6 - $10 / approved hr</w:t>
            </w:r>
          </w:p>
        </w:tc>
      </w:tr>
      <w:tr>
        <w:tc>
          <w:tcPr>
            <w:tcW w:type="dxa" w:w="3022"/>
            <w:shd w:val="clear" w:color="auto" w:fill="FFFFFF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2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1 + action segments, object labels, object state change, task state labels.</w:t>
            </w:r>
          </w:p>
        </w:tc>
        <w:tc>
          <w:tcPr>
            <w:tcW w:type="dxa" w:w="3022"/>
            <w:shd w:val="clear" w:color="auto" w:fill="FFFFFF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19"/>
              </w:rPr>
              <w:t>$12 - $18 / approved hr</w:t>
            </w:r>
          </w:p>
        </w:tc>
      </w:tr>
      <w:tr>
        <w:tc>
          <w:tcPr>
            <w:tcW w:type="dxa" w:w="3022"/>
            <w:shd w:val="clear" w:color="auto" w:fill="F7F8FA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3</w:t>
            </w:r>
          </w:p>
        </w:tc>
        <w:tc>
          <w:tcPr>
            <w:tcW w:type="dxa" w:w="3022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2 + HOI frame-by-frame, failure event labels, bounding boxes.</w:t>
            </w:r>
          </w:p>
        </w:tc>
        <w:tc>
          <w:tcPr>
            <w:tcW w:type="dxa" w:w="3022"/>
            <w:shd w:val="clear" w:color="auto" w:fill="F7F8FA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19"/>
              </w:rPr>
              <w:t>$20 - $30 / approved hr</w:t>
            </w:r>
          </w:p>
        </w:tc>
      </w:tr>
      <w:tr>
        <w:tc>
          <w:tcPr>
            <w:tcW w:type="dxa" w:w="3022"/>
            <w:shd w:val="clear" w:color="auto" w:fill="FFFFFF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4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3 + phase decomposition, keypoints, environment metadata.</w:t>
            </w:r>
          </w:p>
        </w:tc>
        <w:tc>
          <w:tcPr>
            <w:tcW w:type="dxa" w:w="3022"/>
            <w:shd w:val="clear" w:color="auto" w:fill="FFFFFF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19"/>
              </w:rPr>
              <w:t>$30 - $42 / approved hr</w:t>
            </w:r>
          </w:p>
        </w:tc>
      </w:tr>
      <w:tr>
        <w:tc>
          <w:tcPr>
            <w:tcW w:type="dxa" w:w="3022"/>
            <w:shd w:val="clear" w:color="auto" w:fill="F7F8FA"/>
            <w:tcW w:w="1296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5</w:t>
            </w:r>
          </w:p>
        </w:tc>
        <w:tc>
          <w:tcPr>
            <w:tcW w:type="dxa" w:w="3022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4 + post-hoc gaze estimation (estimated region, flagged with confidence score).</w:t>
            </w:r>
          </w:p>
        </w:tc>
        <w:tc>
          <w:tcPr>
            <w:tcW w:type="dxa" w:w="3022"/>
            <w:shd w:val="clear" w:color="auto" w:fill="F7F8FA"/>
            <w:tcW w:w="216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19"/>
              </w:rPr>
              <w:t>$40 - $55 / approved hr</w:t>
            </w:r>
          </w:p>
        </w:tc>
      </w:tr>
    </w:tbl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8"/>
        </w:rPr>
        <w:t>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21"/>
              </w:rPr>
              <w:t>Languages</w:t>
            </w:r>
          </w:p>
        </w:tc>
        <w:tc>
          <w:tcPr>
            <w:tcW w:type="dxa" w:w="4533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21"/>
              </w:rPr>
              <w:t>Hindi, Bengali, Odia, Tamil, Kannada, Gujarati, Punjabi, Marathi, Nepali, Bhojpuri, Assamese, Manipuri, English -- 13 languages across all major Indian regions.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21"/>
              </w:rPr>
              <w:t>Project start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21"/>
              </w:rPr>
              <w:t>Ready to begin within 1-2 weeks of project brief and sample approval.</w:t>
            </w:r>
          </w:p>
        </w:tc>
      </w:tr>
      <w:tr>
        <w:tc>
          <w:tcPr>
            <w:tcW w:type="dxa" w:w="4533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3C5078"/>
                <w:sz w:val="21"/>
              </w:rPr>
              <w:t>Volume</w:t>
            </w:r>
          </w:p>
        </w:tc>
        <w:tc>
          <w:tcPr>
            <w:tcW w:type="dxa" w:w="4533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21"/>
              </w:rPr>
              <w:t>Pilot runs from 500 hours. Scale up to 10,000+ approved hours per month.</w:t>
            </w:r>
          </w:p>
        </w:tc>
      </w:tr>
    </w:tbl>
    <w:p>
      <w:pPr>
        <w:spacing w:before="280" w:after="0"/>
      </w:pPr>
    </w:p>
    <w:p>
      <w:pPr>
        <w:spacing w:before="0" w:after="0"/>
        <w:pBdr>
          <w:bottom w:val="single" w:sz="4" w:space="1" w:color="E0E4EE"/>
        </w:pBdr>
      </w:pPr>
    </w:p>
    <w:p>
      <w:pPr>
        <w:spacing w:before="200"/>
      </w:pPr>
      <w:r>
        <w:rPr>
          <w:rFonts w:ascii="Calibri" w:hAnsi="Calibri"/>
          <w:b/>
          <w:i w:val="0"/>
          <w:color w:val="232832"/>
          <w:sz w:val="21"/>
        </w:rPr>
        <w:t xml:space="preserve">Srijan   </w:t>
      </w:r>
      <w:r>
        <w:rPr>
          <w:rFonts w:ascii="Calibri" w:hAnsi="Calibri"/>
          <w:b w:val="0"/>
          <w:i w:val="0"/>
          <w:color w:val="FF7A2F"/>
          <w:sz w:val="21"/>
        </w:rPr>
        <w:t>ldrago@0xqube.xyz</w:t>
      </w:r>
      <w:r>
        <w:rPr>
          <w:rFonts w:ascii="Calibri" w:hAnsi="Calibri"/>
          <w:b w:val="0"/>
          <w:i w:val="0"/>
          <w:color w:val="646E82"/>
          <w:sz w:val="21"/>
        </w:rPr>
        <w:t xml:space="preserve">   @Srijan0x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