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i w:val="0"/>
          <w:color w:val="FF7A2F"/>
          <w:sz w:val="60"/>
        </w:rPr>
        <w:t>QUBE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646E82"/>
          <w:sz w:val="26"/>
        </w:rPr>
        <w:t>India's physical AI data collection company</w:t>
      </w:r>
    </w:p>
    <w:p>
      <w:pPr>
        <w:spacing w:before="0" w:after="240"/>
      </w:pPr>
      <w:r>
        <w:rPr>
          <w:rFonts w:ascii="Calibri" w:hAnsi="Calibri"/>
          <w:b w:val="0"/>
          <w:i/>
          <w:color w:val="646E82"/>
          <w:sz w:val="20"/>
        </w:rPr>
        <w:t>Data Capabilities Brief  --  Physical AI &amp; Robotics</w:t>
      </w:r>
    </w:p>
    <w:p>
      <w:pPr>
        <w:spacing w:before="0" w:after="0"/>
        <w:pBdr>
          <w:bottom w:val="single" w:sz="6" w:space="1" w:color="FF7A2F"/>
        </w:pBdr>
      </w:pP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WHAT ARE WE</w:t>
      </w:r>
    </w:p>
    <w:p>
      <w:pPr>
        <w:spacing w:before="0" w:after="140"/>
      </w:pPr>
      <w:r>
        <w:rPr>
          <w:rFonts w:ascii="Calibri" w:hAnsi="Calibri"/>
          <w:b w:val="0"/>
          <w:i w:val="0"/>
          <w:color w:val="232832"/>
          <w:sz w:val="20"/>
        </w:rPr>
        <w:t>Qube is a data collection company built specifically for physical AI. We source, record, and deliver egocentric (first-person POV) training data from real-world environments in India -- the kind of data that teaches robots and autonomous systems how humans actually move and work. Every project is task-specific and environment-specific. We do not produce generic footage.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WHAT WE DO</w:t>
      </w:r>
    </w:p>
    <w:p>
      <w:pPr>
        <w:spacing w:before="0" w:after="140"/>
      </w:pPr>
      <w:r>
        <w:rPr>
          <w:rFonts w:ascii="Calibri" w:hAnsi="Calibri"/>
          <w:b w:val="0"/>
          <w:i w:val="0"/>
          <w:color w:val="232832"/>
          <w:sz w:val="20"/>
        </w:rPr>
        <w:t>End-to-end data collection: contributor briefing, recording, QA review, and annotation delivery. Current focus: Indian manufacturing environments -- auto components, electronics assembly, and pharma packaging. Output is consent-clean, QA-passed video with annotation layers delivered to client spec.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HOW WE DO IT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In-house execution team </w:t>
      </w:r>
      <w:r>
        <w:rPr>
          <w:rFonts w:ascii="Calibri" w:hAnsi="Calibri"/>
          <w:b w:val="0"/>
          <w:i w:val="0"/>
          <w:color w:val="232832"/>
          <w:sz w:val="20"/>
        </w:rPr>
        <w:t>-- trained contributors with head-mounted rigs, briefed on narration and hand-visibility standards before every project.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Factory floor access </w:t>
      </w:r>
      <w:r>
        <w:rPr>
          <w:rFonts w:ascii="Calibri" w:hAnsi="Calibri"/>
          <w:b w:val="0"/>
          <w:i w:val="0"/>
          <w:color w:val="232832"/>
          <w:sz w:val="20"/>
        </w:rPr>
        <w:t>-- direct relationships with manufacturing facilities across India, with employer-level consent frameworks covering all contributors.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Structured QA pipeline </w:t>
      </w:r>
      <w:r>
        <w:rPr>
          <w:rFonts w:ascii="Calibri" w:hAnsi="Calibri"/>
          <w:b w:val="0"/>
          <w:i w:val="0"/>
          <w:color w:val="232832"/>
          <w:sz w:val="20"/>
        </w:rPr>
        <w:t>-- every video reviewed against narration quality, PII checks, hand visibility (80% target), and file standards before delivery.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Annotation delivery </w:t>
      </w:r>
      <w:r>
        <w:rPr>
          <w:rFonts w:ascii="Calibri" w:hAnsi="Calibri"/>
          <w:b w:val="0"/>
          <w:i w:val="0"/>
          <w:color w:val="232832"/>
          <w:sz w:val="20"/>
        </w:rPr>
        <w:t>-- layered annotation from Tier 1 raw narrated video up to Tier 5 gaze-level data, depending on project spec.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DATA TIERS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32832"/>
          <w:sz w:val="20"/>
        </w:rPr>
        <w:t>Five tiers of increasing richness. Each tier is a superset of the one before it. Clients specify the tier at project brief stage.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F7A2F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Tier</w:t>
            </w:r>
          </w:p>
        </w:tc>
        <w:tc>
          <w:tcPr>
            <w:tcW w:type="dxa" w:w="3135"/>
            <w:shd w:val="clear" w:color="auto" w:fill="FF7A2F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Is Included</w:t>
            </w:r>
          </w:p>
        </w:tc>
        <w:tc>
          <w:tcPr>
            <w:tcW w:type="dxa" w:w="3135"/>
            <w:shd w:val="clear" w:color="auto" w:fill="FF7A2F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1</w:t>
            </w:r>
          </w:p>
        </w:tc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Raw narrated video -- head-mounted POV, contributor narration synchronized to video, QA-passed for hand visibility and PII.</w:t>
            </w:r>
          </w:p>
        </w:tc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Model pretraining, activity recognition, general embodied AI research.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2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1 + action segments (verb + noun + start/end timestamps) + object state change (before/after state for each object touched).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Task recognition, action prediction, manipulation model training.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3</w:t>
            </w:r>
          </w:p>
        </w:tc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2 + HOI (Hand Object Interaction) -- frame-by-frame log of which hand, which object, grip type, and contact state for the full video duration.</w:t>
            </w:r>
          </w:p>
        </w:tc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Grasp learning, dexterous manipulation, fine-grained task modeling.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4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3 + phase decomposition -- reach, grasp, manipulate, and release boundaries labeled for every action segment.</w:t>
            </w:r>
          </w:p>
        </w:tc>
        <w:tc>
          <w:tcPr>
            <w:tcW w:type="dxa" w:w="3135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Robot arm policy learning, phase-conditioned planning, sim-to-real transfer.</w:t>
            </w:r>
          </w:p>
        </w:tc>
      </w:tr>
      <w:tr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7A2F"/>
                <w:sz w:val="19"/>
              </w:rPr>
              <w:t>Tier 5</w:t>
            </w:r>
          </w:p>
        </w:tc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Tier 4 + post-hoc gaze estimation -- fixation regions estimated from head pose (OpenFace 2.0) and saliency models (GazeTR). Flagged with method and confidence score. Not hardware-precise gaze.</w:t>
            </w:r>
          </w:p>
        </w:tc>
        <w:tc>
          <w:tcPr>
            <w:tcW w:type="dxa" w:w="3135"/>
            <w:shd w:val="clear" w:color="auto" w:fill="F7F8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Attention modeling, gaze-informed policy research. Note: estimated regions, not exact coordinates.</w:t>
            </w:r>
          </w:p>
        </w:tc>
      </w:tr>
    </w:tbl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ANNOTATION TYPES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232832"/>
          <w:sz w:val="20"/>
        </w:rPr>
        <w:t>All annotation types are delivered as structured JSON, one file per video with each type under a separate key. Files link via video ID and frame number.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F7A2F"/>
            <w:tcW w:w="2304" w:type="dxa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Annotation Type</w:t>
            </w:r>
          </w:p>
        </w:tc>
        <w:tc>
          <w:tcPr>
            <w:tcW w:type="dxa" w:w="4703"/>
            <w:shd w:val="clear" w:color="auto" w:fill="FF7A2F"/>
            <w:tcW w:w="7200" w:type="dxa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  <w:shd w:val="clear" w:color="auto" w:fill="F7F8FA"/>
            <w:tcW w:w="2304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8508C"/>
                <w:sz w:val="19"/>
              </w:rPr>
              <w:t>Narration</w:t>
            </w:r>
          </w:p>
        </w:tc>
        <w:tc>
          <w:tcPr>
            <w:tcW w:type="dxa" w:w="4703"/>
            <w:shd w:val="clear" w:color="auto" w:fill="F7F8FA"/>
            <w:tcW w:w="7200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Timestamped free-text description spoken by the contributor as they record. Synchronized to video. Primary annotation layer -- captures intent and context in the contributor's own words.</w:t>
            </w:r>
          </w:p>
        </w:tc>
      </w:tr>
      <w:tr>
        <w:tc>
          <w:tcPr>
            <w:tcW w:type="dxa" w:w="4703"/>
            <w:shd w:val="clear" w:color="auto" w:fill="FFFFFF"/>
            <w:tcW w:w="2304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8508C"/>
                <w:sz w:val="19"/>
              </w:rPr>
              <w:t>Action Segments</w:t>
            </w:r>
          </w:p>
        </w:tc>
        <w:tc>
          <w:tcPr>
            <w:tcW w:type="dxa" w:w="4703"/>
            <w:shd w:val="clear" w:color="auto" w:fill="FFFFFF"/>
            <w:tcW w:w="7200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Start/end timestamps + verb + noun for each notable action. Format: pick up [screwdriver] 00:01-00:08. Compatible with EPIC-Kitchens annotation schema. Verb and noun class IDs available on request.</w:t>
            </w:r>
          </w:p>
        </w:tc>
      </w:tr>
      <w:tr>
        <w:tc>
          <w:tcPr>
            <w:tcW w:type="dxa" w:w="4703"/>
            <w:shd w:val="clear" w:color="auto" w:fill="F7F8FA"/>
            <w:tcW w:w="2304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8508C"/>
                <w:sz w:val="19"/>
              </w:rPr>
              <w:t>Object State Change</w:t>
            </w:r>
          </w:p>
        </w:tc>
        <w:tc>
          <w:tcPr>
            <w:tcW w:type="dxa" w:w="4703"/>
            <w:shd w:val="clear" w:color="auto" w:fill="F7F8FA"/>
            <w:tcW w:w="7200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Before/after state of objects touched during each action. Example: bolt (loose to tight), drawer (closed to open). Requires human judgment -- not derivable from video alone.</w:t>
            </w:r>
          </w:p>
        </w:tc>
      </w:tr>
      <w:tr>
        <w:tc>
          <w:tcPr>
            <w:tcW w:type="dxa" w:w="4703"/>
            <w:shd w:val="clear" w:color="auto" w:fill="FFFFFF"/>
            <w:tcW w:w="2304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8508C"/>
                <w:sz w:val="19"/>
              </w:rPr>
              <w:t>HOI -- Hand Object Interaction</w:t>
            </w:r>
          </w:p>
        </w:tc>
        <w:tc>
          <w:tcPr>
            <w:tcW w:type="dxa" w:w="4703"/>
            <w:shd w:val="clear" w:color="auto" w:fill="FFFFFF"/>
            <w:tcW w:w="7200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Continuous frame-by-frame log for the full video: which hand (left/right), which object, grip type (power, precision, pinch, stabilize), and contact state (true/false). Runs from first frame to last.</w:t>
            </w:r>
          </w:p>
        </w:tc>
      </w:tr>
      <w:tr>
        <w:tc>
          <w:tcPr>
            <w:tcW w:type="dxa" w:w="4703"/>
            <w:shd w:val="clear" w:color="auto" w:fill="F7F8FA"/>
            <w:tcW w:w="2304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8508C"/>
                <w:sz w:val="19"/>
              </w:rPr>
              <w:t>Gaze (post-hoc estimated)</w:t>
            </w:r>
          </w:p>
        </w:tc>
        <w:tc>
          <w:tcPr>
            <w:tcW w:type="dxa" w:w="4703"/>
            <w:shd w:val="clear" w:color="auto" w:fill="F7F8FA"/>
            <w:tcW w:w="7200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Fixation regions estimated from head pose (OpenFace 2.0) combined with visual saliency models (GazeTR / L2CS-Net). Outputs estimated gaze region per frame, not precise x/y coordinates. All outputs flagged with method: "post_hoc_estimation" and a confidence score in the JSON. Suitable for attention modeling research; not a substitute for hardware gaze.</w:t>
            </w:r>
          </w:p>
        </w:tc>
      </w:tr>
      <w:tr>
        <w:tc>
          <w:tcPr>
            <w:tcW w:type="dxa" w:w="4703"/>
            <w:shd w:val="clear" w:color="auto" w:fill="FFFFFF"/>
            <w:tcW w:w="2304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8508C"/>
                <w:sz w:val="19"/>
              </w:rPr>
              <w:t>Bounding Boxes</w:t>
            </w:r>
          </w:p>
        </w:tc>
        <w:tc>
          <w:tcPr>
            <w:tcW w:type="dxa" w:w="4703"/>
            <w:shd w:val="clear" w:color="auto" w:fill="FFFFFF"/>
            <w:tcW w:w="7200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Rectangular spatial localization of objects per frame. Sparse (key events only) or dense (every N frames) -- specified at project brief. Format: [x, y, width, height] per frame.</w:t>
            </w:r>
          </w:p>
        </w:tc>
      </w:tr>
      <w:tr>
        <w:tc>
          <w:tcPr>
            <w:tcW w:type="dxa" w:w="4703"/>
            <w:shd w:val="clear" w:color="auto" w:fill="F7F8FA"/>
            <w:tcW w:w="2304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28508C"/>
                <w:sz w:val="19"/>
              </w:rPr>
              <w:t>Keypoints</w:t>
            </w:r>
          </w:p>
        </w:tc>
        <w:tc>
          <w:tcPr>
            <w:tcW w:type="dxa" w:w="4703"/>
            <w:shd w:val="clear" w:color="auto" w:fill="F7F8FA"/>
            <w:tcW w:w="7200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232832"/>
                <w:sz w:val="19"/>
              </w:rPr>
              <w:t>21-point hand landmark model per frame. Captures wrist, finger joints, and fingertip positions. Used for grip classification, pose estimation, and dexterous manipulation training.</w:t>
            </w:r>
          </w:p>
        </w:tc>
      </w:tr>
    </w:tbl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ENVIRONMENTS &amp; SETTINGS</w:t>
      </w:r>
    </w:p>
    <w:p>
      <w:pPr>
        <w:spacing w:before="0" w:after="140"/>
      </w:pPr>
      <w:r>
        <w:rPr>
          <w:rFonts w:ascii="Calibri" w:hAnsi="Calibri"/>
          <w:b w:val="0"/>
          <w:i w:val="0"/>
          <w:color w:val="232832"/>
          <w:sz w:val="20"/>
        </w:rPr>
        <w:t>Current collection environments: auto components assembly, electronics assembly, pharma packaging. All settings are real operational manufacturing floors -- not staged or simulated. Domestic and residential collection also available for home robotics and general embodied AI use cases.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Factory floor </w:t>
      </w:r>
      <w:r>
        <w:rPr>
          <w:rFonts w:ascii="Calibri" w:hAnsi="Calibri"/>
          <w:b w:val="0"/>
          <w:i w:val="0"/>
          <w:color w:val="232832"/>
          <w:sz w:val="20"/>
        </w:rPr>
        <w:t>-- assembly lines, quality inspection, packaging operations, tooling and maintenance tasks.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Domestic / residential </w:t>
      </w:r>
      <w:r>
        <w:rPr>
          <w:rFonts w:ascii="Calibri" w:hAnsi="Calibri"/>
          <w:b w:val="0"/>
          <w:i w:val="0"/>
          <w:color w:val="232832"/>
          <w:sz w:val="20"/>
        </w:rPr>
        <w:t>-- kitchen tasks, cleaning, organizing, appliance use, household maintenance.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Custom environments </w:t>
      </w:r>
      <w:r>
        <w:rPr>
          <w:rFonts w:ascii="Calibri" w:hAnsi="Calibri"/>
          <w:b w:val="0"/>
          <w:i w:val="0"/>
          <w:color w:val="232832"/>
          <w:sz w:val="20"/>
        </w:rPr>
        <w:t>-- available on request with 4-6 week lead time for contributor briefing and access setup.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WHY INDIAN DATA FOR PHYSICAL AI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India is where the robots are going </w:t>
      </w:r>
      <w:r>
        <w:rPr>
          <w:rFonts w:ascii="Calibri" w:hAnsi="Calibri"/>
          <w:b w:val="0"/>
          <w:i w:val="0"/>
          <w:color w:val="232832"/>
          <w:sz w:val="20"/>
        </w:rPr>
        <w:t>-- India has one of the largest manual-labour workforces in the world. Industrial robots are being designed specifically to work alongside Indian factory workers. Training data from Indian environments is not supplementary -- it is the primary source for any model with India deployment intent.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Manual-labour workflows are the target </w:t>
      </w:r>
      <w:r>
        <w:rPr>
          <w:rFonts w:ascii="Calibri" w:hAnsi="Calibri"/>
          <w:b w:val="0"/>
          <w:i w:val="0"/>
          <w:color w:val="232832"/>
          <w:sz w:val="20"/>
        </w:rPr>
        <w:t>-- the manipulation tasks Indian factory workers perform daily (component assembly, packaging, quality inspection) are exactly the demonstrations industrial robots need.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Generic bulk data is commoditised </w:t>
      </w:r>
      <w:r>
        <w:rPr>
          <w:rFonts w:ascii="Calibri" w:hAnsi="Calibri"/>
          <w:b w:val="0"/>
          <w:i w:val="0"/>
          <w:color w:val="232832"/>
          <w:sz w:val="20"/>
        </w:rPr>
        <w:t>-- free datasets (Build AI Egocentric-100K, Ego4D) have floored the price floor for generic footage. What labs actually pay for is task-specific, environment-specific, consent-clean data from specific deployment environments.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Cost advantage </w:t>
      </w:r>
      <w:r>
        <w:rPr>
          <w:rFonts w:ascii="Calibri" w:hAnsi="Calibri"/>
          <w:b w:val="0"/>
          <w:i w:val="0"/>
          <w:color w:val="232832"/>
          <w:sz w:val="20"/>
        </w:rPr>
        <w:t>-- India-based collection and annotation at a fraction of US or EU rates, without compromising on quality or legal standards.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DATA COMPLIANCE &amp; LEGAL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Consent framework </w:t>
      </w:r>
      <w:r>
        <w:rPr>
          <w:rFonts w:ascii="Calibri" w:hAnsi="Calibri"/>
          <w:b w:val="0"/>
          <w:i w:val="0"/>
          <w:color w:val="232832"/>
          <w:sz w:val="20"/>
        </w:rPr>
        <w:t>-- employer-level consent covering all contributors, not just individual sign-offs. Legally defensible for lab use and downstream redistribution.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PII by design </w:t>
      </w:r>
      <w:r>
        <w:rPr>
          <w:rFonts w:ascii="Calibri" w:hAnsi="Calibri"/>
          <w:b w:val="0"/>
          <w:i w:val="0"/>
          <w:color w:val="232832"/>
          <w:sz w:val="20"/>
        </w:rPr>
        <w:t>-- egocentric (head-mounted) recording means contributor faces are not captured. No names in narration. Properly collected footage falls outside DPDP personal data provisions entirely.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Cross-border transfer </w:t>
      </w:r>
      <w:r>
        <w:rPr>
          <w:rFonts w:ascii="Calibri" w:hAnsi="Calibri"/>
          <w:b w:val="0"/>
          <w:i w:val="0"/>
          <w:color w:val="232832"/>
          <w:sz w:val="20"/>
        </w:rPr>
        <w:t>-- India DPDP Act 2023 operates on a blocklist model. The blocked-country list is not yet published. Transfers to the US and EU are currently unrestricted. A Data Processing Agreement (DPA) is available on request.</w:t>
      </w:r>
    </w:p>
    <w:p>
      <w:pPr>
        <w:pStyle w:val="ListBullet"/>
        <w:spacing w:before="20" w:after="60"/>
        <w:ind w:left="259"/>
      </w:pPr>
      <w:r>
        <w:rPr>
          <w:rFonts w:ascii="Calibri" w:hAnsi="Calibri"/>
          <w:b/>
          <w:i w:val="0"/>
          <w:color w:val="232832"/>
          <w:sz w:val="20"/>
        </w:rPr>
        <w:t xml:space="preserve">IP ownership </w:t>
      </w:r>
      <w:r>
        <w:rPr>
          <w:rFonts w:ascii="Calibri" w:hAnsi="Calibri"/>
          <w:b w:val="0"/>
          <w:i w:val="0"/>
          <w:color w:val="232832"/>
          <w:sz w:val="20"/>
        </w:rPr>
        <w:t>-- all footage and annotation is work-for-hire. Full IP transfers to the client on delivery.</w:t>
      </w:r>
    </w:p>
    <w:p>
      <w:pPr>
        <w:spacing w:before="320" w:after="100"/>
      </w:pPr>
      <w:r>
        <w:rPr>
          <w:rFonts w:ascii="Calibri" w:hAnsi="Calibri"/>
          <w:b/>
          <w:i w:val="0"/>
          <w:color w:val="FF7A2F"/>
          <w:sz w:val="17"/>
        </w:rPr>
        <w:t>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7F8FA"/>
            <w:tcW w:w="230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8508C"/>
                <w:sz w:val="20"/>
              </w:rPr>
              <w:t>Languages</w:t>
            </w:r>
          </w:p>
        </w:tc>
        <w:tc>
          <w:tcPr>
            <w:tcW w:type="dxa" w:w="4703"/>
            <w:shd w:val="clear" w:color="auto" w:fill="F7F8FA"/>
            <w:tcW w:w="7200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32832"/>
                <w:sz w:val="20"/>
              </w:rPr>
              <w:t>Hindi, Bengali, Odia, Tamil, Kannada, Gujarati, Punjabi, Marathi, Nepali, Bhojpuri, Assamese, Manipuri, English -- 13 languages across all major Indian regions.</w:t>
            </w:r>
          </w:p>
        </w:tc>
      </w:tr>
      <w:tr>
        <w:tc>
          <w:tcPr>
            <w:tcW w:type="dxa" w:w="4703"/>
            <w:shd w:val="clear" w:color="auto" w:fill="FFFFFF"/>
            <w:tcW w:w="230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8508C"/>
                <w:sz w:val="20"/>
              </w:rPr>
              <w:t>Regions</w:t>
            </w:r>
          </w:p>
        </w:tc>
        <w:tc>
          <w:tcPr>
            <w:tcW w:type="dxa" w:w="4703"/>
            <w:shd w:val="clear" w:color="auto" w:fill="FFFFFF"/>
            <w:tcW w:w="7200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32832"/>
                <w:sz w:val="20"/>
              </w:rPr>
              <w:t>India: Active. South America + Philippines: Exploring. SEA + Japan: Planned.</w:t>
            </w:r>
          </w:p>
        </w:tc>
      </w:tr>
      <w:tr>
        <w:tc>
          <w:tcPr>
            <w:tcW w:type="dxa" w:w="4703"/>
            <w:shd w:val="clear" w:color="auto" w:fill="F7F8FA"/>
            <w:tcW w:w="230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8508C"/>
                <w:sz w:val="20"/>
              </w:rPr>
              <w:t>Project start</w:t>
            </w:r>
          </w:p>
        </w:tc>
        <w:tc>
          <w:tcPr>
            <w:tcW w:type="dxa" w:w="4703"/>
            <w:shd w:val="clear" w:color="auto" w:fill="F7F8FA"/>
            <w:tcW w:w="7200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32832"/>
                <w:sz w:val="20"/>
              </w:rPr>
              <w:t>Ready to begin within 1-2 weeks of project brief and sample approval.</w:t>
            </w:r>
          </w:p>
        </w:tc>
      </w:tr>
      <w:tr>
        <w:tc>
          <w:tcPr>
            <w:tcW w:type="dxa" w:w="4703"/>
            <w:shd w:val="clear" w:color="auto" w:fill="FFFFFF"/>
            <w:tcW w:w="230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8508C"/>
                <w:sz w:val="20"/>
              </w:rPr>
              <w:t>Volume</w:t>
            </w:r>
          </w:p>
        </w:tc>
        <w:tc>
          <w:tcPr>
            <w:tcW w:type="dxa" w:w="4703"/>
            <w:shd w:val="clear" w:color="auto" w:fill="FFFFFF"/>
            <w:tcW w:w="7200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32832"/>
                <w:sz w:val="20"/>
              </w:rPr>
              <w:t>Pilot runs from 500 approved hours. Scale up to 10,000+ approved hours per month.</w:t>
            </w:r>
          </w:p>
        </w:tc>
      </w:tr>
      <w:tr>
        <w:tc>
          <w:tcPr>
            <w:tcW w:type="dxa" w:w="4703"/>
            <w:shd w:val="clear" w:color="auto" w:fill="F7F8FA"/>
            <w:tcW w:w="230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28508C"/>
                <w:sz w:val="20"/>
              </w:rPr>
              <w:t>Annotation turnaround</w:t>
            </w:r>
          </w:p>
        </w:tc>
        <w:tc>
          <w:tcPr>
            <w:tcW w:type="dxa" w:w="4703"/>
            <w:shd w:val="clear" w:color="auto" w:fill="F7F8FA"/>
            <w:tcW w:w="7200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232832"/>
                <w:sz w:val="20"/>
              </w:rPr>
              <w:t>Tier 1-2: 5-7 business days from video delivery. Tier 3+: 10-14 business days depending on volume.</w:t>
            </w:r>
          </w:p>
        </w:tc>
      </w:tr>
    </w:tbl>
    <w:p>
      <w:pPr>
        <w:spacing w:before="360" w:after="0"/>
      </w:pPr>
    </w:p>
    <w:p>
      <w:pPr>
        <w:spacing w:before="0" w:after="0"/>
        <w:pBdr>
          <w:bottom w:val="single" w:sz="4" w:space="1" w:color="E0E4EE"/>
        </w:pBdr>
      </w:pPr>
    </w:p>
    <w:p>
      <w:pPr>
        <w:spacing w:before="200"/>
      </w:pPr>
      <w:r>
        <w:rPr>
          <w:rFonts w:ascii="Calibri" w:hAnsi="Calibri"/>
          <w:b/>
          <w:i w:val="0"/>
          <w:color w:val="232832"/>
          <w:sz w:val="20"/>
        </w:rPr>
        <w:t xml:space="preserve">Srijan   </w:t>
      </w:r>
      <w:r>
        <w:rPr>
          <w:rFonts w:ascii="Calibri" w:hAnsi="Calibri"/>
          <w:b w:val="0"/>
          <w:i w:val="0"/>
          <w:color w:val="FF7A2F"/>
          <w:sz w:val="20"/>
        </w:rPr>
        <w:t>ldrago@0xqube.xyz</w:t>
      </w:r>
      <w:r>
        <w:rPr>
          <w:rFonts w:ascii="Calibri" w:hAnsi="Calibri"/>
          <w:b w:val="0"/>
          <w:i w:val="0"/>
          <w:color w:val="646E82"/>
          <w:sz w:val="20"/>
        </w:rPr>
        <w:t xml:space="preserve">   @Srijan0x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