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0677" w14:textId="3B14955A" w:rsidR="00C416FC" w:rsidRPr="00C416FC" w:rsidRDefault="00C416FC" w:rsidP="00C416FC">
      <w:pPr>
        <w:rPr>
          <w:b/>
          <w:bCs/>
          <w:sz w:val="24"/>
          <w:szCs w:val="24"/>
          <w:u w:val="single"/>
        </w:rPr>
      </w:pPr>
      <w:r w:rsidRPr="00C416FC">
        <w:rPr>
          <w:b/>
          <w:bCs/>
          <w:sz w:val="24"/>
          <w:szCs w:val="24"/>
          <w:u w:val="single"/>
        </w:rPr>
        <w:t>Thermal and Structural Analysis of an Alumin</w:t>
      </w:r>
      <w:r w:rsidRPr="0031770E">
        <w:rPr>
          <w:b/>
          <w:bCs/>
          <w:sz w:val="24"/>
          <w:szCs w:val="24"/>
          <w:u w:val="single"/>
        </w:rPr>
        <w:t>i</w:t>
      </w:r>
      <w:r w:rsidRPr="00C416FC">
        <w:rPr>
          <w:b/>
          <w:bCs/>
          <w:sz w:val="24"/>
          <w:szCs w:val="24"/>
          <w:u w:val="single"/>
        </w:rPr>
        <w:t>um Heat Sink</w:t>
      </w:r>
    </w:p>
    <w:p w14:paraId="22DA7DBA" w14:textId="77777777" w:rsidR="00C416FC" w:rsidRPr="00C416FC" w:rsidRDefault="006D1CA2" w:rsidP="00C416FC">
      <w:r>
        <w:pict w14:anchorId="2649A3FC">
          <v:rect id="_x0000_i1025" style="width:0;height:1.5pt" o:hralign="center" o:hrstd="t" o:hr="t" fillcolor="#a0a0a0" stroked="f"/>
        </w:pict>
      </w:r>
    </w:p>
    <w:p w14:paraId="3316106D" w14:textId="77777777" w:rsidR="00C416FC" w:rsidRPr="00C416FC" w:rsidRDefault="00C416FC" w:rsidP="00C416FC">
      <w:pPr>
        <w:rPr>
          <w:b/>
          <w:bCs/>
          <w:u w:val="single"/>
        </w:rPr>
      </w:pPr>
      <w:r w:rsidRPr="00C416FC">
        <w:rPr>
          <w:b/>
          <w:bCs/>
          <w:u w:val="single"/>
        </w:rPr>
        <w:t>Abstract</w:t>
      </w:r>
    </w:p>
    <w:p w14:paraId="708106DA" w14:textId="679B95CE" w:rsidR="00C416FC" w:rsidRPr="00C416FC" w:rsidRDefault="00C416FC" w:rsidP="00C416FC">
      <w:r w:rsidRPr="00C416FC">
        <w:t>Efficient thermal management is a cornerstone of modern electronics, ensuring device reliability and optimal performance. This report investigates the thermal and structural performance of an alumin</w:t>
      </w:r>
      <w:r>
        <w:t>i</w:t>
      </w:r>
      <w:r w:rsidRPr="00C416FC">
        <w:t>um heat sink using finite element analysis (FEA). The analysis covers steady-state and transient thermal conditions, as well as thermal stress due to expansion. Results demonstrate the superior heat dissipation capacity of alumin</w:t>
      </w:r>
      <w:r>
        <w:t>i</w:t>
      </w:r>
      <w:r w:rsidRPr="00C416FC">
        <w:t>um and its ability to withstand mechanical stresses, making it a prime choice for thermal management in high-performance applications.</w:t>
      </w:r>
    </w:p>
    <w:p w14:paraId="20F0D08F" w14:textId="77777777" w:rsidR="00C416FC" w:rsidRPr="00C416FC" w:rsidRDefault="006D1CA2" w:rsidP="00C416FC">
      <w:r>
        <w:pict w14:anchorId="7224D31C">
          <v:rect id="_x0000_i1026" style="width:0;height:1.5pt" o:hralign="center" o:hrstd="t" o:hr="t" fillcolor="#a0a0a0" stroked="f"/>
        </w:pict>
      </w:r>
    </w:p>
    <w:p w14:paraId="517DBF10" w14:textId="77777777" w:rsidR="00C416FC" w:rsidRPr="00C416FC" w:rsidRDefault="00C416FC" w:rsidP="00C416FC">
      <w:pPr>
        <w:rPr>
          <w:b/>
          <w:bCs/>
          <w:u w:val="single"/>
        </w:rPr>
      </w:pPr>
      <w:r w:rsidRPr="00C416FC">
        <w:rPr>
          <w:b/>
          <w:bCs/>
          <w:u w:val="single"/>
        </w:rPr>
        <w:t>Objective</w:t>
      </w:r>
    </w:p>
    <w:p w14:paraId="60179CBB" w14:textId="77777777" w:rsidR="00C416FC" w:rsidRPr="00C416FC" w:rsidRDefault="00C416FC" w:rsidP="00C416FC">
      <w:r w:rsidRPr="00C416FC">
        <w:t>The primary objectives of this study are as follows:</w:t>
      </w:r>
    </w:p>
    <w:p w14:paraId="04E49C8F" w14:textId="77777777" w:rsidR="00C416FC" w:rsidRPr="00C416FC" w:rsidRDefault="00C416FC" w:rsidP="00C416FC">
      <w:pPr>
        <w:numPr>
          <w:ilvl w:val="0"/>
          <w:numId w:val="2"/>
        </w:numPr>
      </w:pPr>
      <w:r w:rsidRPr="00C416FC">
        <w:rPr>
          <w:b/>
          <w:bCs/>
        </w:rPr>
        <w:t>Thermal Analysis</w:t>
      </w:r>
      <w:r w:rsidRPr="00C416FC">
        <w:t>:</w:t>
      </w:r>
    </w:p>
    <w:p w14:paraId="5156DFA2" w14:textId="77777777" w:rsidR="00C416FC" w:rsidRPr="00C416FC" w:rsidRDefault="00C416FC" w:rsidP="00C416FC">
      <w:pPr>
        <w:numPr>
          <w:ilvl w:val="1"/>
          <w:numId w:val="2"/>
        </w:numPr>
      </w:pPr>
      <w:r w:rsidRPr="00C416FC">
        <w:t>Evaluate the steady-state thermal response under a constant heat flux of 1500 W/m².</w:t>
      </w:r>
    </w:p>
    <w:p w14:paraId="0CCE20D9" w14:textId="77777777" w:rsidR="00C416FC" w:rsidRPr="00C416FC" w:rsidRDefault="00C416FC" w:rsidP="00C416FC">
      <w:pPr>
        <w:numPr>
          <w:ilvl w:val="1"/>
          <w:numId w:val="2"/>
        </w:numPr>
      </w:pPr>
      <w:r w:rsidRPr="00C416FC">
        <w:t>Study the transient thermal response to a square wave heat flux over 180 seconds.</w:t>
      </w:r>
    </w:p>
    <w:p w14:paraId="5ACED3E3" w14:textId="77777777" w:rsidR="00C416FC" w:rsidRPr="00C416FC" w:rsidRDefault="00C416FC" w:rsidP="00C416FC">
      <w:pPr>
        <w:numPr>
          <w:ilvl w:val="0"/>
          <w:numId w:val="2"/>
        </w:numPr>
      </w:pPr>
      <w:r w:rsidRPr="00C416FC">
        <w:rPr>
          <w:b/>
          <w:bCs/>
        </w:rPr>
        <w:t>Structural Analysis</w:t>
      </w:r>
      <w:r w:rsidRPr="00C416FC">
        <w:t>:</w:t>
      </w:r>
    </w:p>
    <w:p w14:paraId="4BA38800" w14:textId="77777777" w:rsidR="00C416FC" w:rsidRPr="00C416FC" w:rsidRDefault="00C416FC" w:rsidP="00C416FC">
      <w:pPr>
        <w:numPr>
          <w:ilvl w:val="1"/>
          <w:numId w:val="2"/>
        </w:numPr>
      </w:pPr>
      <w:r w:rsidRPr="00C416FC">
        <w:t>Assess thermal stresses and deformation using steady-state results as the input temperature load.</w:t>
      </w:r>
    </w:p>
    <w:p w14:paraId="00BEE0CB" w14:textId="4A7FC437" w:rsidR="00C416FC" w:rsidRPr="00107F4B" w:rsidRDefault="006D1CA2" w:rsidP="00C416FC">
      <w:r>
        <w:pict w14:anchorId="09C3CDD7">
          <v:rect id="_x0000_i1027" style="width:0;height:1.5pt" o:hralign="center" o:hrstd="t" o:hr="t" fillcolor="#a0a0a0" stroked="f"/>
        </w:pict>
      </w:r>
    </w:p>
    <w:p w14:paraId="1FEB987B" w14:textId="77777777" w:rsidR="00107F4B" w:rsidRDefault="00107F4B" w:rsidP="00C416FC">
      <w:pPr>
        <w:rPr>
          <w:b/>
          <w:bCs/>
          <w:u w:val="single"/>
        </w:rPr>
      </w:pPr>
    </w:p>
    <w:p w14:paraId="6FBBB12D" w14:textId="229742D5" w:rsidR="00C416FC" w:rsidRPr="00C416FC" w:rsidRDefault="00C416FC" w:rsidP="00C416FC">
      <w:pPr>
        <w:rPr>
          <w:b/>
          <w:bCs/>
          <w:u w:val="single"/>
        </w:rPr>
      </w:pPr>
      <w:r w:rsidRPr="00C416FC">
        <w:rPr>
          <w:b/>
          <w:bCs/>
          <w:u w:val="single"/>
        </w:rPr>
        <w:t>Introduction</w:t>
      </w:r>
    </w:p>
    <w:p w14:paraId="0E890D6D" w14:textId="35C28C7C" w:rsidR="00C416FC" w:rsidRPr="00C416FC" w:rsidRDefault="00C416FC" w:rsidP="00C416FC">
      <w:r w:rsidRPr="00C416FC">
        <w:t>Heat sinks play a critical role in ensuring the longevity and stability of electronic devices by dissipating heat generated during operation. Their design and material selection are fundamental to achieving efficient thermal management. Alumin</w:t>
      </w:r>
      <w:r>
        <w:t>i</w:t>
      </w:r>
      <w:r w:rsidRPr="00C416FC">
        <w:t>um, known for its lightweight, high thermal conductivity, and mechanical strength, is widely used for heat sinks.</w:t>
      </w:r>
    </w:p>
    <w:p w14:paraId="3AD4CEA9" w14:textId="1E384CD2" w:rsidR="00C416FC" w:rsidRPr="00C416FC" w:rsidRDefault="00C416FC" w:rsidP="00C416FC">
      <w:r w:rsidRPr="00C416FC">
        <w:t xml:space="preserve">This study </w:t>
      </w:r>
      <w:proofErr w:type="spellStart"/>
      <w:r w:rsidRPr="00C416FC">
        <w:t>analyzes</w:t>
      </w:r>
      <w:proofErr w:type="spellEnd"/>
      <w:r w:rsidRPr="00C416FC">
        <w:t xml:space="preserve"> a finned alumin</w:t>
      </w:r>
      <w:r>
        <w:t>i</w:t>
      </w:r>
      <w:r w:rsidRPr="00C416FC">
        <w:t>um heat sink using FEA tools to evaluate its thermal behavio</w:t>
      </w:r>
      <w:r>
        <w:t>u</w:t>
      </w:r>
      <w:r w:rsidRPr="00C416FC">
        <w:t>r and mechanical stability under both steady and transient conditions. The findings contribute to understanding the design principles required for effective thermal management.</w:t>
      </w:r>
    </w:p>
    <w:p w14:paraId="11090EDA" w14:textId="77777777" w:rsidR="00C416FC" w:rsidRPr="00C416FC" w:rsidRDefault="006D1CA2" w:rsidP="00C416FC">
      <w:r>
        <w:pict w14:anchorId="37BC5D8A">
          <v:rect id="_x0000_i1028" style="width:0;height:1.5pt" o:hralign="center" o:hrstd="t" o:hr="t" fillcolor="#a0a0a0" stroked="f"/>
        </w:pict>
      </w:r>
    </w:p>
    <w:p w14:paraId="238B726D" w14:textId="049408B9" w:rsidR="00C416FC" w:rsidRPr="00C416FC" w:rsidRDefault="00107F4B" w:rsidP="00C416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  <w:r w:rsidR="00C416FC" w:rsidRPr="00C416FC">
        <w:rPr>
          <w:b/>
          <w:bCs/>
          <w:sz w:val="24"/>
          <w:szCs w:val="24"/>
          <w:u w:val="single"/>
        </w:rPr>
        <w:t>Preprocessing</w:t>
      </w:r>
    </w:p>
    <w:p w14:paraId="37B18009" w14:textId="77777777" w:rsidR="00C416FC" w:rsidRPr="00C416FC" w:rsidRDefault="00C416FC" w:rsidP="00C416FC">
      <w:pPr>
        <w:rPr>
          <w:b/>
          <w:bCs/>
          <w:u w:val="single"/>
        </w:rPr>
      </w:pPr>
      <w:r w:rsidRPr="00C416FC">
        <w:rPr>
          <w:b/>
          <w:bCs/>
          <w:u w:val="single"/>
        </w:rPr>
        <w:t>Material Properties</w:t>
      </w:r>
    </w:p>
    <w:p w14:paraId="2F89BB34" w14:textId="70E7CA3C" w:rsidR="00C416FC" w:rsidRPr="00C416FC" w:rsidRDefault="00C416FC" w:rsidP="00C416FC">
      <w:r w:rsidRPr="00C416FC">
        <w:lastRenderedPageBreak/>
        <w:t>Alumin</w:t>
      </w:r>
      <w:r>
        <w:t>i</w:t>
      </w:r>
      <w:r w:rsidRPr="00C416FC">
        <w:t>um was chosen for the analysis due to its optimal balance of thermal and mechanical properties.</w:t>
      </w:r>
    </w:p>
    <w:tbl>
      <w:tblPr>
        <w:tblW w:w="58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2169"/>
      </w:tblGrid>
      <w:tr w:rsidR="00C416FC" w:rsidRPr="00C416FC" w14:paraId="2C11710C" w14:textId="77777777" w:rsidTr="00C416FC">
        <w:trPr>
          <w:trHeight w:val="4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F7CE0" w14:textId="77777777" w:rsidR="00C416FC" w:rsidRPr="00C416FC" w:rsidRDefault="00C416FC" w:rsidP="00C416FC">
            <w:pPr>
              <w:rPr>
                <w:b/>
                <w:bCs/>
              </w:rPr>
            </w:pPr>
            <w:r w:rsidRPr="00C416FC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5C6860E" w14:textId="77777777" w:rsidR="00C416FC" w:rsidRPr="00C416FC" w:rsidRDefault="00C416FC" w:rsidP="00C416FC">
            <w:pPr>
              <w:rPr>
                <w:b/>
                <w:bCs/>
              </w:rPr>
            </w:pPr>
            <w:r w:rsidRPr="00C416FC">
              <w:rPr>
                <w:b/>
                <w:bCs/>
              </w:rPr>
              <w:t>Value</w:t>
            </w:r>
          </w:p>
        </w:tc>
      </w:tr>
      <w:tr w:rsidR="00C416FC" w:rsidRPr="00C416FC" w14:paraId="7C1956A8" w14:textId="77777777" w:rsidTr="00C416FC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342AA869" w14:textId="77777777" w:rsidR="00C416FC" w:rsidRPr="00C416FC" w:rsidRDefault="00C416FC" w:rsidP="00C416FC">
            <w:r w:rsidRPr="00C416FC">
              <w:t>Thermal Conductivity (kk)</w:t>
            </w:r>
          </w:p>
        </w:tc>
        <w:tc>
          <w:tcPr>
            <w:tcW w:w="0" w:type="auto"/>
            <w:vAlign w:val="center"/>
            <w:hideMark/>
          </w:tcPr>
          <w:p w14:paraId="638B8FD2" w14:textId="77777777" w:rsidR="00C416FC" w:rsidRPr="00C416FC" w:rsidRDefault="00C416FC" w:rsidP="00C416FC">
            <w:r w:rsidRPr="00C416FC">
              <w:t>170 W/m·°C</w:t>
            </w:r>
          </w:p>
        </w:tc>
      </w:tr>
      <w:tr w:rsidR="00C416FC" w:rsidRPr="00C416FC" w14:paraId="0AA1ACC5" w14:textId="77777777" w:rsidTr="00C416FC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31E7665" w14:textId="77777777" w:rsidR="00C416FC" w:rsidRPr="00C416FC" w:rsidRDefault="00C416FC" w:rsidP="00C416FC">
            <w:r w:rsidRPr="00C416FC">
              <w:t>Density (ρ\rho)</w:t>
            </w:r>
          </w:p>
        </w:tc>
        <w:tc>
          <w:tcPr>
            <w:tcW w:w="0" w:type="auto"/>
            <w:vAlign w:val="center"/>
            <w:hideMark/>
          </w:tcPr>
          <w:p w14:paraId="72B0FB32" w14:textId="77777777" w:rsidR="00C416FC" w:rsidRPr="00C416FC" w:rsidRDefault="00C416FC" w:rsidP="00C416FC">
            <w:r w:rsidRPr="00C416FC">
              <w:t>2800 kg/m³</w:t>
            </w:r>
          </w:p>
        </w:tc>
      </w:tr>
      <w:tr w:rsidR="00C416FC" w:rsidRPr="00C416FC" w14:paraId="7B24F6DA" w14:textId="77777777" w:rsidTr="00C416FC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76DC1ED" w14:textId="77777777" w:rsidR="00C416FC" w:rsidRPr="00C416FC" w:rsidRDefault="00C416FC" w:rsidP="00C416FC">
            <w:r w:rsidRPr="00C416FC">
              <w:t>Specific Heat (cc)</w:t>
            </w:r>
          </w:p>
        </w:tc>
        <w:tc>
          <w:tcPr>
            <w:tcW w:w="0" w:type="auto"/>
            <w:vAlign w:val="center"/>
            <w:hideMark/>
          </w:tcPr>
          <w:p w14:paraId="48B5A26C" w14:textId="77777777" w:rsidR="00C416FC" w:rsidRPr="00C416FC" w:rsidRDefault="00C416FC" w:rsidP="00C416FC">
            <w:r w:rsidRPr="00C416FC">
              <w:t>870 J/kg·°C</w:t>
            </w:r>
          </w:p>
        </w:tc>
      </w:tr>
      <w:tr w:rsidR="00C416FC" w:rsidRPr="00C416FC" w14:paraId="02ADF83F" w14:textId="77777777" w:rsidTr="00C416FC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41EFF6E" w14:textId="77777777" w:rsidR="00C416FC" w:rsidRPr="00C416FC" w:rsidRDefault="00C416FC" w:rsidP="00C416FC">
            <w:r w:rsidRPr="00C416FC">
              <w:t>Elastic Modulus (EE)</w:t>
            </w:r>
          </w:p>
        </w:tc>
        <w:tc>
          <w:tcPr>
            <w:tcW w:w="0" w:type="auto"/>
            <w:vAlign w:val="center"/>
            <w:hideMark/>
          </w:tcPr>
          <w:p w14:paraId="443A1114" w14:textId="77777777" w:rsidR="00C416FC" w:rsidRPr="00C416FC" w:rsidRDefault="00C416FC" w:rsidP="00C416FC">
            <w:r w:rsidRPr="00C416FC">
              <w:t xml:space="preserve">70 </w:t>
            </w:r>
            <w:proofErr w:type="spellStart"/>
            <w:r w:rsidRPr="00C416FC">
              <w:t>GPa</w:t>
            </w:r>
            <w:proofErr w:type="spellEnd"/>
          </w:p>
        </w:tc>
      </w:tr>
      <w:tr w:rsidR="00C416FC" w:rsidRPr="00C416FC" w14:paraId="4273939E" w14:textId="77777777" w:rsidTr="00C416FC">
        <w:trPr>
          <w:trHeight w:val="480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7194367" w14:textId="77777777" w:rsidR="00C416FC" w:rsidRPr="00C416FC" w:rsidRDefault="00C416FC" w:rsidP="00C416FC">
            <w:r w:rsidRPr="00C416FC">
              <w:t>Poisson’s Ratio (ν\nu)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F3BC14D" w14:textId="77777777" w:rsidR="00C416FC" w:rsidRPr="00C416FC" w:rsidRDefault="00C416FC" w:rsidP="00C416FC">
            <w:r w:rsidRPr="00C416FC">
              <w:t>0.33</w:t>
            </w:r>
          </w:p>
        </w:tc>
      </w:tr>
      <w:tr w:rsidR="00C416FC" w:rsidRPr="00C416FC" w14:paraId="0653E290" w14:textId="77777777" w:rsidTr="00C416FC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66F2FCC6" w14:textId="68BA40CC" w:rsidR="00C416FC" w:rsidRPr="00C416FC" w:rsidRDefault="00C416FC" w:rsidP="00C416FC">
            <w:r w:rsidRPr="00C416FC">
              <w:t>Coefficient of Thermal Expansion (α)</w:t>
            </w:r>
          </w:p>
        </w:tc>
        <w:tc>
          <w:tcPr>
            <w:tcW w:w="0" w:type="auto"/>
            <w:vAlign w:val="center"/>
            <w:hideMark/>
          </w:tcPr>
          <w:p w14:paraId="12D812BF" w14:textId="678D2105" w:rsidR="00C416FC" w:rsidRPr="00C416FC" w:rsidRDefault="00C416FC" w:rsidP="00C416FC">
            <w:r>
              <w:t xml:space="preserve">  22 x 10</w:t>
            </w:r>
            <w:proofErr w:type="gramStart"/>
            <w:r>
              <w:t>^(</w:t>
            </w:r>
            <w:proofErr w:type="gramEnd"/>
            <w:r>
              <w:t xml:space="preserve">-6) </w:t>
            </w:r>
            <w:r w:rsidRPr="00C416FC">
              <w:t>·°C</w:t>
            </w:r>
            <w:r>
              <w:t>^(-1)</w:t>
            </w:r>
          </w:p>
        </w:tc>
      </w:tr>
    </w:tbl>
    <w:p w14:paraId="0269DB2D" w14:textId="77777777" w:rsidR="00C416FC" w:rsidRDefault="00C416FC" w:rsidP="00C416FC">
      <w:pPr>
        <w:rPr>
          <w:b/>
          <w:bCs/>
        </w:rPr>
      </w:pPr>
    </w:p>
    <w:p w14:paraId="46D6B8EB" w14:textId="77777777" w:rsidR="00C416FC" w:rsidRDefault="00C416FC" w:rsidP="00C416FC">
      <w:pPr>
        <w:rPr>
          <w:b/>
          <w:bCs/>
        </w:rPr>
      </w:pPr>
    </w:p>
    <w:p w14:paraId="0B5444B9" w14:textId="77777777" w:rsidR="00C416FC" w:rsidRDefault="00C416FC" w:rsidP="00C416FC">
      <w:pPr>
        <w:rPr>
          <w:b/>
          <w:bCs/>
        </w:rPr>
      </w:pPr>
    </w:p>
    <w:p w14:paraId="5B275220" w14:textId="3680EEC1" w:rsidR="00C416FC" w:rsidRPr="00C416FC" w:rsidRDefault="00C416FC" w:rsidP="00C416FC">
      <w:pPr>
        <w:rPr>
          <w:b/>
          <w:bCs/>
          <w:u w:val="single"/>
        </w:rPr>
      </w:pPr>
      <w:r w:rsidRPr="00C416FC">
        <w:rPr>
          <w:b/>
          <w:bCs/>
          <w:u w:val="single"/>
        </w:rPr>
        <w:t>Geometry</w:t>
      </w:r>
    </w:p>
    <w:p w14:paraId="0E868F16" w14:textId="77777777" w:rsidR="00C416FC" w:rsidRPr="00C416FC" w:rsidRDefault="00C416FC" w:rsidP="00C416FC">
      <w:r w:rsidRPr="00C416FC">
        <w:t>The heat sink consists of a rectangular base with multiple fins to enhance surface area for heat dissipation.</w:t>
      </w:r>
    </w:p>
    <w:p w14:paraId="5B2C0353" w14:textId="77777777" w:rsidR="00C416FC" w:rsidRPr="00C416FC" w:rsidRDefault="00C416FC" w:rsidP="00C416FC">
      <w:pPr>
        <w:numPr>
          <w:ilvl w:val="0"/>
          <w:numId w:val="3"/>
        </w:numPr>
      </w:pPr>
      <w:r w:rsidRPr="00C416FC">
        <w:rPr>
          <w:b/>
          <w:bCs/>
        </w:rPr>
        <w:t>Base Dimensions</w:t>
      </w:r>
      <w:r w:rsidRPr="00C416FC">
        <w:t>: 100 mm × 50 mm × 10 mm</w:t>
      </w:r>
    </w:p>
    <w:p w14:paraId="42887A2B" w14:textId="77777777" w:rsidR="00C416FC" w:rsidRPr="00C416FC" w:rsidRDefault="00C416FC" w:rsidP="00C416FC">
      <w:pPr>
        <w:numPr>
          <w:ilvl w:val="0"/>
          <w:numId w:val="3"/>
        </w:numPr>
      </w:pPr>
      <w:r w:rsidRPr="00C416FC">
        <w:rPr>
          <w:b/>
          <w:bCs/>
        </w:rPr>
        <w:t>Fin Height</w:t>
      </w:r>
      <w:r w:rsidRPr="00C416FC">
        <w:t>: 28 mm</w:t>
      </w:r>
    </w:p>
    <w:p w14:paraId="08C3967F" w14:textId="77777777" w:rsidR="00C416FC" w:rsidRPr="00C416FC" w:rsidRDefault="00C416FC" w:rsidP="00C416FC">
      <w:pPr>
        <w:numPr>
          <w:ilvl w:val="0"/>
          <w:numId w:val="3"/>
        </w:numPr>
      </w:pPr>
      <w:r w:rsidRPr="00C416FC">
        <w:rPr>
          <w:b/>
          <w:bCs/>
        </w:rPr>
        <w:t>Fin Thickness</w:t>
      </w:r>
      <w:r w:rsidRPr="00C416FC">
        <w:t>: 2 mm</w:t>
      </w:r>
    </w:p>
    <w:p w14:paraId="52713591" w14:textId="77777777" w:rsidR="00C416FC" w:rsidRPr="00C416FC" w:rsidRDefault="00C416FC" w:rsidP="00C416FC">
      <w:pPr>
        <w:numPr>
          <w:ilvl w:val="0"/>
          <w:numId w:val="3"/>
        </w:numPr>
      </w:pPr>
      <w:r w:rsidRPr="00C416FC">
        <w:rPr>
          <w:b/>
          <w:bCs/>
        </w:rPr>
        <w:t>Number of Fins</w:t>
      </w:r>
      <w:r w:rsidRPr="00C416FC">
        <w:t>: 8</w:t>
      </w:r>
    </w:p>
    <w:p w14:paraId="243ADB13" w14:textId="77777777" w:rsidR="00C416FC" w:rsidRDefault="00C416FC" w:rsidP="00C416FC">
      <w:pPr>
        <w:rPr>
          <w:b/>
          <w:bCs/>
        </w:rPr>
      </w:pPr>
    </w:p>
    <w:p w14:paraId="5C20D4B0" w14:textId="39A5AF17" w:rsidR="00C416FC" w:rsidRPr="00C416FC" w:rsidRDefault="00C416FC" w:rsidP="00C416FC">
      <w:pPr>
        <w:rPr>
          <w:b/>
          <w:bCs/>
          <w:u w:val="single"/>
        </w:rPr>
      </w:pPr>
      <w:r w:rsidRPr="00C416FC">
        <w:rPr>
          <w:b/>
          <w:bCs/>
          <w:u w:val="single"/>
        </w:rPr>
        <w:t>Boundary Conditions</w:t>
      </w:r>
    </w:p>
    <w:p w14:paraId="728C5C0B" w14:textId="77777777" w:rsidR="00C416FC" w:rsidRPr="00C416FC" w:rsidRDefault="00C416FC" w:rsidP="00C416FC">
      <w:pPr>
        <w:numPr>
          <w:ilvl w:val="0"/>
          <w:numId w:val="4"/>
        </w:numPr>
      </w:pPr>
      <w:r w:rsidRPr="00C416FC">
        <w:rPr>
          <w:b/>
          <w:bCs/>
        </w:rPr>
        <w:t>Ambient Temperature</w:t>
      </w:r>
      <w:r w:rsidRPr="00C416FC">
        <w:t>: 35°C</w:t>
      </w:r>
    </w:p>
    <w:p w14:paraId="0DB418B8" w14:textId="77777777" w:rsidR="00C416FC" w:rsidRPr="00C416FC" w:rsidRDefault="00C416FC" w:rsidP="00C416FC">
      <w:pPr>
        <w:numPr>
          <w:ilvl w:val="0"/>
          <w:numId w:val="4"/>
        </w:numPr>
      </w:pPr>
      <w:r w:rsidRPr="00C416FC">
        <w:rPr>
          <w:b/>
          <w:bCs/>
        </w:rPr>
        <w:t>Heat Flux</w:t>
      </w:r>
      <w:r w:rsidRPr="00C416FC">
        <w:t xml:space="preserve">: </w:t>
      </w:r>
    </w:p>
    <w:p w14:paraId="51251519" w14:textId="77777777" w:rsidR="00C416FC" w:rsidRPr="00C416FC" w:rsidRDefault="00C416FC" w:rsidP="00C416FC">
      <w:pPr>
        <w:numPr>
          <w:ilvl w:val="1"/>
          <w:numId w:val="4"/>
        </w:numPr>
      </w:pPr>
      <w:r w:rsidRPr="00C416FC">
        <w:rPr>
          <w:b/>
          <w:bCs/>
        </w:rPr>
        <w:t>Steady-State</w:t>
      </w:r>
      <w:r w:rsidRPr="00C416FC">
        <w:t>: 1500 W/m² applied to the base.</w:t>
      </w:r>
    </w:p>
    <w:p w14:paraId="16A73A26" w14:textId="77777777" w:rsidR="00C416FC" w:rsidRPr="00C416FC" w:rsidRDefault="00C416FC" w:rsidP="00C416FC">
      <w:pPr>
        <w:numPr>
          <w:ilvl w:val="1"/>
          <w:numId w:val="4"/>
        </w:numPr>
      </w:pPr>
      <w:r w:rsidRPr="00C416FC">
        <w:rPr>
          <w:b/>
          <w:bCs/>
        </w:rPr>
        <w:t>Transient</w:t>
      </w:r>
      <w:r w:rsidRPr="00C416FC">
        <w:t>: Square wave variation between 0 and 1000 W/m² with a 90-second period.</w:t>
      </w:r>
    </w:p>
    <w:p w14:paraId="286E8405" w14:textId="77777777" w:rsidR="00C416FC" w:rsidRPr="00C416FC" w:rsidRDefault="00C416FC" w:rsidP="00C416FC">
      <w:pPr>
        <w:numPr>
          <w:ilvl w:val="0"/>
          <w:numId w:val="4"/>
        </w:numPr>
      </w:pPr>
      <w:r w:rsidRPr="00C416FC">
        <w:rPr>
          <w:b/>
          <w:bCs/>
        </w:rPr>
        <w:t>Convection Coefficient</w:t>
      </w:r>
      <w:r w:rsidRPr="00C416FC">
        <w:t>: 30 W/m²·°C.</w:t>
      </w:r>
    </w:p>
    <w:p w14:paraId="77F54CC0" w14:textId="7B11AE98" w:rsidR="0031770E" w:rsidRPr="00C416FC" w:rsidRDefault="006D1CA2" w:rsidP="00C416FC">
      <w:r>
        <w:pict w14:anchorId="505D45F5">
          <v:rect id="_x0000_i1029" style="width:0;height:1.5pt" o:hralign="center" o:hrstd="t" o:hr="t" fillcolor="#a0a0a0" stroked="f"/>
        </w:pict>
      </w:r>
    </w:p>
    <w:p w14:paraId="441AADD1" w14:textId="25E4B282" w:rsidR="00C416FC" w:rsidRPr="00C416FC" w:rsidRDefault="00C416FC" w:rsidP="00C416FC">
      <w:pPr>
        <w:rPr>
          <w:b/>
          <w:bCs/>
          <w:sz w:val="24"/>
          <w:szCs w:val="24"/>
          <w:u w:val="single"/>
        </w:rPr>
      </w:pPr>
      <w:r w:rsidRPr="00C416FC">
        <w:rPr>
          <w:b/>
          <w:bCs/>
          <w:sz w:val="24"/>
          <w:szCs w:val="24"/>
          <w:u w:val="single"/>
        </w:rPr>
        <w:t>Mode</w:t>
      </w:r>
      <w:r w:rsidRPr="0031770E">
        <w:rPr>
          <w:b/>
          <w:bCs/>
          <w:sz w:val="24"/>
          <w:szCs w:val="24"/>
          <w:u w:val="single"/>
        </w:rPr>
        <w:t>l</w:t>
      </w:r>
      <w:r w:rsidRPr="00C416FC">
        <w:rPr>
          <w:b/>
          <w:bCs/>
          <w:sz w:val="24"/>
          <w:szCs w:val="24"/>
          <w:u w:val="single"/>
        </w:rPr>
        <w:t>ling and Meshing</w:t>
      </w:r>
    </w:p>
    <w:p w14:paraId="4E8B127A" w14:textId="77777777" w:rsidR="00C416FC" w:rsidRPr="00C416FC" w:rsidRDefault="00C416FC" w:rsidP="00C416FC">
      <w:pPr>
        <w:rPr>
          <w:b/>
          <w:bCs/>
        </w:rPr>
      </w:pPr>
      <w:r w:rsidRPr="00C416FC">
        <w:rPr>
          <w:b/>
          <w:bCs/>
        </w:rPr>
        <w:t>CAD Model</w:t>
      </w:r>
    </w:p>
    <w:p w14:paraId="4850AD35" w14:textId="14769FFF" w:rsidR="00C416FC" w:rsidRPr="00C416FC" w:rsidRDefault="00C416FC" w:rsidP="00C416FC">
      <w:r w:rsidRPr="00C416FC">
        <w:t>The 3D geometry of the heat sink was developed in CAD software and imported as a STEP file. Fine details, including fin dimensions, were model</w:t>
      </w:r>
      <w:r>
        <w:t>l</w:t>
      </w:r>
      <w:r w:rsidRPr="00C416FC">
        <w:t>ed accurately to capture realistic thermal and structural behavio</w:t>
      </w:r>
      <w:r>
        <w:t>u</w:t>
      </w:r>
      <w:r w:rsidRPr="00C416FC">
        <w:t>r.</w:t>
      </w:r>
    </w:p>
    <w:p w14:paraId="5A11B0C1" w14:textId="77777777" w:rsidR="00C416FC" w:rsidRPr="00C416FC" w:rsidRDefault="00C416FC" w:rsidP="00C416FC">
      <w:pPr>
        <w:rPr>
          <w:b/>
          <w:bCs/>
        </w:rPr>
      </w:pPr>
      <w:r w:rsidRPr="00C416FC">
        <w:rPr>
          <w:b/>
          <w:bCs/>
        </w:rPr>
        <w:t>Mesh Details</w:t>
      </w:r>
    </w:p>
    <w:p w14:paraId="73B6C888" w14:textId="77777777" w:rsidR="00C416FC" w:rsidRPr="00C416FC" w:rsidRDefault="00C416FC" w:rsidP="00C416FC">
      <w:pPr>
        <w:numPr>
          <w:ilvl w:val="0"/>
          <w:numId w:val="5"/>
        </w:numPr>
      </w:pPr>
      <w:r w:rsidRPr="00C416FC">
        <w:rPr>
          <w:b/>
          <w:bCs/>
        </w:rPr>
        <w:t>Element Type</w:t>
      </w:r>
      <w:r w:rsidRPr="00C416FC">
        <w:t>: Tetrahedral.</w:t>
      </w:r>
    </w:p>
    <w:p w14:paraId="4638033D" w14:textId="77777777" w:rsidR="00C416FC" w:rsidRPr="00C416FC" w:rsidRDefault="00C416FC" w:rsidP="00C416FC">
      <w:pPr>
        <w:numPr>
          <w:ilvl w:val="0"/>
          <w:numId w:val="5"/>
        </w:numPr>
      </w:pPr>
      <w:r w:rsidRPr="00C416FC">
        <w:rPr>
          <w:b/>
          <w:bCs/>
        </w:rPr>
        <w:t>Nodes</w:t>
      </w:r>
      <w:r w:rsidRPr="00C416FC">
        <w:t>: 26,747.</w:t>
      </w:r>
    </w:p>
    <w:p w14:paraId="6DE1227C" w14:textId="77777777" w:rsidR="00C416FC" w:rsidRPr="00C416FC" w:rsidRDefault="00C416FC" w:rsidP="00C416FC">
      <w:pPr>
        <w:numPr>
          <w:ilvl w:val="0"/>
          <w:numId w:val="5"/>
        </w:numPr>
      </w:pPr>
      <w:r w:rsidRPr="00C416FC">
        <w:rPr>
          <w:b/>
          <w:bCs/>
        </w:rPr>
        <w:t>Elements</w:t>
      </w:r>
      <w:r w:rsidRPr="00C416FC">
        <w:t>: 13,810.</w:t>
      </w:r>
    </w:p>
    <w:p w14:paraId="70F4DB64" w14:textId="77777777" w:rsidR="00C416FC" w:rsidRPr="00C416FC" w:rsidRDefault="00C416FC" w:rsidP="00C416FC">
      <w:pPr>
        <w:numPr>
          <w:ilvl w:val="0"/>
          <w:numId w:val="5"/>
        </w:numPr>
      </w:pPr>
      <w:r w:rsidRPr="00C416FC">
        <w:rPr>
          <w:b/>
          <w:bCs/>
        </w:rPr>
        <w:t>Minimum Edge Length</w:t>
      </w:r>
      <w:r w:rsidRPr="00C416FC">
        <w:t>: 2 mm.</w:t>
      </w:r>
    </w:p>
    <w:p w14:paraId="7C917E57" w14:textId="77777777" w:rsidR="00C416FC" w:rsidRPr="00C416FC" w:rsidRDefault="00C416FC" w:rsidP="00C416FC">
      <w:r w:rsidRPr="00C416FC">
        <w:t>Mesh refinement ensured accuracy near critical regions, such as the fin base and edges, where high thermal gradients and stresses were expected.</w:t>
      </w:r>
    </w:p>
    <w:p w14:paraId="5AEBBC43" w14:textId="44FF89EB" w:rsidR="000E11B6" w:rsidRPr="00CD6BB8" w:rsidRDefault="006D1CA2" w:rsidP="00C416FC">
      <w:r>
        <w:pict w14:anchorId="2551A524">
          <v:rect id="_x0000_i1030" style="width:0;height:1.5pt" o:hralign="center" o:hrstd="t" o:hr="t" fillcolor="#a0a0a0" stroked="f"/>
        </w:pict>
      </w:r>
    </w:p>
    <w:p w14:paraId="0A3095D9" w14:textId="075ECD04" w:rsidR="00C416FC" w:rsidRPr="00C416FC" w:rsidRDefault="00C416FC" w:rsidP="00C416FC">
      <w:pPr>
        <w:rPr>
          <w:b/>
          <w:bCs/>
          <w:sz w:val="24"/>
          <w:szCs w:val="24"/>
          <w:u w:val="single"/>
        </w:rPr>
      </w:pPr>
      <w:r w:rsidRPr="00C416FC">
        <w:rPr>
          <w:b/>
          <w:bCs/>
          <w:sz w:val="24"/>
          <w:szCs w:val="24"/>
          <w:u w:val="single"/>
        </w:rPr>
        <w:t>Results and Discussion</w:t>
      </w:r>
    </w:p>
    <w:p w14:paraId="53ADBD29" w14:textId="77777777" w:rsidR="0031770E" w:rsidRDefault="0031770E" w:rsidP="00C416FC">
      <w:pPr>
        <w:rPr>
          <w:b/>
          <w:bCs/>
        </w:rPr>
      </w:pPr>
    </w:p>
    <w:p w14:paraId="04F15B69" w14:textId="56A6AFA9" w:rsidR="00C416FC" w:rsidRPr="00C416FC" w:rsidRDefault="00C416FC" w:rsidP="00C416FC">
      <w:pPr>
        <w:rPr>
          <w:b/>
          <w:bCs/>
          <w:u w:val="single"/>
        </w:rPr>
      </w:pPr>
      <w:r w:rsidRPr="00C416FC">
        <w:rPr>
          <w:b/>
          <w:bCs/>
          <w:u w:val="single"/>
        </w:rPr>
        <w:t>Thermal Analysis</w:t>
      </w:r>
    </w:p>
    <w:p w14:paraId="3285EB75" w14:textId="77777777" w:rsidR="0031770E" w:rsidRDefault="0031770E" w:rsidP="00C416FC">
      <w:pPr>
        <w:rPr>
          <w:b/>
          <w:bCs/>
        </w:rPr>
      </w:pPr>
    </w:p>
    <w:p w14:paraId="3A4C79C0" w14:textId="78CED9C9" w:rsidR="00C416FC" w:rsidRPr="00C416FC" w:rsidRDefault="00C416FC" w:rsidP="00C416FC">
      <w:pPr>
        <w:rPr>
          <w:b/>
          <w:bCs/>
        </w:rPr>
      </w:pPr>
      <w:r w:rsidRPr="00C416FC">
        <w:rPr>
          <w:b/>
          <w:bCs/>
        </w:rPr>
        <w:t>Steady-State Thermal Response</w:t>
      </w:r>
    </w:p>
    <w:p w14:paraId="22E793D8" w14:textId="77777777" w:rsidR="00C416FC" w:rsidRPr="00C416FC" w:rsidRDefault="00C416FC" w:rsidP="00C416FC">
      <w:r w:rsidRPr="00C416FC">
        <w:lastRenderedPageBreak/>
        <w:t>The steady-state simulation provided the temperature distribution and heat flux across the heat sink.</w:t>
      </w:r>
    </w:p>
    <w:tbl>
      <w:tblPr>
        <w:tblW w:w="60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2192"/>
      </w:tblGrid>
      <w:tr w:rsidR="00C416FC" w:rsidRPr="00C416FC" w14:paraId="5C42F885" w14:textId="77777777" w:rsidTr="0031770E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F77D3" w14:textId="77777777" w:rsidR="00C416FC" w:rsidRPr="00C416FC" w:rsidRDefault="00C416FC" w:rsidP="00C416FC">
            <w:pPr>
              <w:rPr>
                <w:b/>
                <w:bCs/>
              </w:rPr>
            </w:pPr>
            <w:r w:rsidRPr="00C416FC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7448F87" w14:textId="77777777" w:rsidR="00C416FC" w:rsidRPr="00C416FC" w:rsidRDefault="00C416FC" w:rsidP="00C416FC">
            <w:pPr>
              <w:rPr>
                <w:b/>
                <w:bCs/>
              </w:rPr>
            </w:pPr>
            <w:r w:rsidRPr="00C416FC">
              <w:rPr>
                <w:b/>
                <w:bCs/>
              </w:rPr>
              <w:t>Value</w:t>
            </w:r>
          </w:p>
        </w:tc>
      </w:tr>
      <w:tr w:rsidR="00C416FC" w:rsidRPr="00C416FC" w14:paraId="74CEB972" w14:textId="77777777" w:rsidTr="0031770E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1044F54A" w14:textId="77777777" w:rsidR="00C416FC" w:rsidRPr="00C416FC" w:rsidRDefault="00C416FC" w:rsidP="00C416FC">
            <w:r w:rsidRPr="00C416FC">
              <w:t>Minimum Temperature</w:t>
            </w:r>
          </w:p>
        </w:tc>
        <w:tc>
          <w:tcPr>
            <w:tcW w:w="0" w:type="auto"/>
            <w:vAlign w:val="center"/>
            <w:hideMark/>
          </w:tcPr>
          <w:p w14:paraId="4082CBBC" w14:textId="77777777" w:rsidR="00C416FC" w:rsidRPr="00C416FC" w:rsidRDefault="00C416FC" w:rsidP="00C416FC">
            <w:r w:rsidRPr="00C416FC">
              <w:t>60.69°C</w:t>
            </w:r>
          </w:p>
        </w:tc>
      </w:tr>
      <w:tr w:rsidR="00C416FC" w:rsidRPr="00C416FC" w14:paraId="45984D65" w14:textId="77777777" w:rsidTr="0031770E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9AD3590" w14:textId="77777777" w:rsidR="00C416FC" w:rsidRPr="00C416FC" w:rsidRDefault="00C416FC" w:rsidP="00C416FC">
            <w:r w:rsidRPr="00C416FC">
              <w:t>Maximum Temperature</w:t>
            </w:r>
          </w:p>
        </w:tc>
        <w:tc>
          <w:tcPr>
            <w:tcW w:w="0" w:type="auto"/>
            <w:vAlign w:val="center"/>
            <w:hideMark/>
          </w:tcPr>
          <w:p w14:paraId="44ECA590" w14:textId="77777777" w:rsidR="00C416FC" w:rsidRPr="00C416FC" w:rsidRDefault="00C416FC" w:rsidP="00C416FC">
            <w:r w:rsidRPr="00C416FC">
              <w:t>61.49°C</w:t>
            </w:r>
          </w:p>
        </w:tc>
      </w:tr>
      <w:tr w:rsidR="00C416FC" w:rsidRPr="00C416FC" w14:paraId="6FFC4F4E" w14:textId="77777777" w:rsidTr="0031770E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7EDDEB7D" w14:textId="77777777" w:rsidR="00C416FC" w:rsidRPr="00C416FC" w:rsidRDefault="00C416FC" w:rsidP="00C416FC">
            <w:r w:rsidRPr="00C416FC">
              <w:t>Average Temperature</w:t>
            </w:r>
          </w:p>
        </w:tc>
        <w:tc>
          <w:tcPr>
            <w:tcW w:w="0" w:type="auto"/>
            <w:vAlign w:val="center"/>
            <w:hideMark/>
          </w:tcPr>
          <w:p w14:paraId="22A00569" w14:textId="77777777" w:rsidR="00C416FC" w:rsidRPr="00C416FC" w:rsidRDefault="00C416FC" w:rsidP="00C416FC">
            <w:r w:rsidRPr="00C416FC">
              <w:t>61.08°C</w:t>
            </w:r>
          </w:p>
        </w:tc>
      </w:tr>
      <w:tr w:rsidR="00C416FC" w:rsidRPr="00C416FC" w14:paraId="5616DE30" w14:textId="77777777" w:rsidTr="0031770E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D7B4C16" w14:textId="77777777" w:rsidR="00C416FC" w:rsidRPr="00C416FC" w:rsidRDefault="00C416FC" w:rsidP="00C416FC">
            <w:r w:rsidRPr="00C416FC">
              <w:t>Minimum Heat Flux</w:t>
            </w:r>
          </w:p>
        </w:tc>
        <w:tc>
          <w:tcPr>
            <w:tcW w:w="0" w:type="auto"/>
            <w:vAlign w:val="center"/>
            <w:hideMark/>
          </w:tcPr>
          <w:p w14:paraId="3E22BF6F" w14:textId="77777777" w:rsidR="00C416FC" w:rsidRPr="00C416FC" w:rsidRDefault="00C416FC" w:rsidP="00C416FC">
            <w:r w:rsidRPr="00C416FC">
              <w:t>65.83 W/m²</w:t>
            </w:r>
          </w:p>
        </w:tc>
      </w:tr>
      <w:tr w:rsidR="00C416FC" w:rsidRPr="00C416FC" w14:paraId="1FB654C9" w14:textId="77777777" w:rsidTr="0031770E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4656C19C" w14:textId="77777777" w:rsidR="00C416FC" w:rsidRPr="00C416FC" w:rsidRDefault="00C416FC" w:rsidP="00C416FC">
            <w:r w:rsidRPr="00C416FC">
              <w:t>Maximum Heat Flux</w:t>
            </w:r>
          </w:p>
        </w:tc>
        <w:tc>
          <w:tcPr>
            <w:tcW w:w="0" w:type="auto"/>
            <w:vAlign w:val="center"/>
            <w:hideMark/>
          </w:tcPr>
          <w:p w14:paraId="094E6647" w14:textId="77777777" w:rsidR="00C416FC" w:rsidRPr="00C416FC" w:rsidRDefault="00C416FC" w:rsidP="00C416FC">
            <w:r w:rsidRPr="00C416FC">
              <w:t>7612.7 W/m²</w:t>
            </w:r>
          </w:p>
        </w:tc>
      </w:tr>
      <w:tr w:rsidR="00C416FC" w:rsidRPr="00C416FC" w14:paraId="52253157" w14:textId="77777777" w:rsidTr="0031770E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0DF7631" w14:textId="77777777" w:rsidR="00C416FC" w:rsidRPr="00C416FC" w:rsidRDefault="00C416FC" w:rsidP="00C416FC">
            <w:r w:rsidRPr="00C416FC">
              <w:t>Average Heat Flux</w:t>
            </w:r>
          </w:p>
        </w:tc>
        <w:tc>
          <w:tcPr>
            <w:tcW w:w="0" w:type="auto"/>
            <w:vAlign w:val="center"/>
            <w:hideMark/>
          </w:tcPr>
          <w:p w14:paraId="07C6011C" w14:textId="77777777" w:rsidR="00C416FC" w:rsidRPr="00C416FC" w:rsidRDefault="00C416FC" w:rsidP="00C416FC">
            <w:r w:rsidRPr="00C416FC">
              <w:t>2523.3 W/m²</w:t>
            </w:r>
          </w:p>
        </w:tc>
      </w:tr>
    </w:tbl>
    <w:p w14:paraId="58E23317" w14:textId="7FFC387E" w:rsidR="002948A7" w:rsidRDefault="002948A7" w:rsidP="00C416FC">
      <w:pPr>
        <w:rPr>
          <w:b/>
          <w:bCs/>
        </w:rPr>
      </w:pPr>
    </w:p>
    <w:p w14:paraId="17465374" w14:textId="4E1D8249" w:rsidR="0031770E" w:rsidRDefault="002948A7" w:rsidP="00C416FC">
      <w:pPr>
        <w:rPr>
          <w:b/>
          <w:bCs/>
        </w:rPr>
      </w:pPr>
      <w:r>
        <w:rPr>
          <w:b/>
          <w:bCs/>
        </w:rPr>
        <w:br w:type="page"/>
      </w:r>
    </w:p>
    <w:p w14:paraId="77E2A9D9" w14:textId="78972137" w:rsidR="00C416FC" w:rsidRPr="00C416FC" w:rsidRDefault="00C416FC" w:rsidP="00C416FC">
      <w:r w:rsidRPr="00C416FC">
        <w:rPr>
          <w:b/>
          <w:bCs/>
        </w:rPr>
        <w:t>Key Observations</w:t>
      </w:r>
      <w:r w:rsidRPr="00C416FC">
        <w:t>:</w:t>
      </w:r>
    </w:p>
    <w:p w14:paraId="4D9AE277" w14:textId="77777777" w:rsidR="00C416FC" w:rsidRPr="00C416FC" w:rsidRDefault="00C416FC" w:rsidP="00C416FC">
      <w:pPr>
        <w:numPr>
          <w:ilvl w:val="0"/>
          <w:numId w:val="6"/>
        </w:numPr>
      </w:pPr>
      <w:r w:rsidRPr="00C416FC">
        <w:t>Uniform temperature distribution across fins demonstrates efficient heat dissipation.</w:t>
      </w:r>
    </w:p>
    <w:p w14:paraId="49EEDA27" w14:textId="77777777" w:rsidR="00C416FC" w:rsidRPr="00C416FC" w:rsidRDefault="00C416FC" w:rsidP="00C416FC">
      <w:pPr>
        <w:numPr>
          <w:ilvl w:val="0"/>
          <w:numId w:val="6"/>
        </w:numPr>
      </w:pPr>
      <w:r w:rsidRPr="00C416FC">
        <w:t>Higher heat flux at the fin base aligns with theoretical expectations due to concentrated thermal gradients.</w:t>
      </w:r>
    </w:p>
    <w:p w14:paraId="6B33EBB9" w14:textId="77777777" w:rsidR="00C416FC" w:rsidRPr="00C416FC" w:rsidRDefault="00C416FC" w:rsidP="00C416FC">
      <w:pPr>
        <w:rPr>
          <w:b/>
          <w:bCs/>
        </w:rPr>
      </w:pPr>
      <w:r w:rsidRPr="00C416FC">
        <w:rPr>
          <w:b/>
          <w:bCs/>
        </w:rPr>
        <w:t>Transient Thermal Response</w:t>
      </w:r>
    </w:p>
    <w:p w14:paraId="41E70514" w14:textId="28E40FCB" w:rsidR="00C416FC" w:rsidRPr="00C416FC" w:rsidRDefault="00C416FC" w:rsidP="002948A7">
      <w:pPr>
        <w:spacing w:after="120"/>
      </w:pPr>
      <w:r w:rsidRPr="00C416FC">
        <w:t>The transient analysis investigated the system’s response to a square wave heat flux. The temperature fluctuated between 60.5°C and 61.5°C, stabilizing within each cycle due to alumin</w:t>
      </w:r>
      <w:r w:rsidR="000E11B6">
        <w:t>i</w:t>
      </w:r>
      <w:r w:rsidRPr="00C416FC">
        <w:t>um’s thermal properties.</w:t>
      </w:r>
    </w:p>
    <w:p w14:paraId="6EF82D56" w14:textId="486C58DE" w:rsidR="0031770E" w:rsidRPr="00CD6BB8" w:rsidRDefault="006D1CA2" w:rsidP="00C416FC">
      <w:r>
        <w:pict w14:anchorId="48392773">
          <v:rect id="_x0000_i1031" style="width:0;height:1.5pt" o:hralign="center" o:hrstd="t" o:hr="t" fillcolor="#a0a0a0" stroked="f"/>
        </w:pict>
      </w:r>
    </w:p>
    <w:p w14:paraId="51AF6465" w14:textId="6D0EE1C5" w:rsidR="00C416FC" w:rsidRPr="00C416FC" w:rsidRDefault="00C416FC" w:rsidP="00C416FC">
      <w:pPr>
        <w:rPr>
          <w:b/>
          <w:bCs/>
        </w:rPr>
      </w:pPr>
      <w:r w:rsidRPr="00C416FC">
        <w:rPr>
          <w:b/>
          <w:bCs/>
        </w:rPr>
        <w:t>Structural Analysis</w:t>
      </w:r>
    </w:p>
    <w:p w14:paraId="50AB533A" w14:textId="77777777" w:rsidR="00C416FC" w:rsidRPr="00C416FC" w:rsidRDefault="00C416FC" w:rsidP="00C416FC">
      <w:r w:rsidRPr="00C416FC">
        <w:t>Thermal stresses were calculated using steady-state temperature results as input for structural analysis.</w:t>
      </w:r>
    </w:p>
    <w:p w14:paraId="57A4BE6C" w14:textId="77777777" w:rsidR="00C416FC" w:rsidRPr="00C416FC" w:rsidRDefault="00C416FC" w:rsidP="00C416FC">
      <w:pPr>
        <w:rPr>
          <w:b/>
          <w:bCs/>
        </w:rPr>
      </w:pPr>
      <w:r w:rsidRPr="00C416FC">
        <w:rPr>
          <w:b/>
          <w:bCs/>
        </w:rPr>
        <w:t>Thermal Stress Calculation</w:t>
      </w:r>
    </w:p>
    <w:p w14:paraId="289D8BC7" w14:textId="77777777" w:rsidR="000E11B6" w:rsidRPr="000E11B6" w:rsidRDefault="000E11B6" w:rsidP="000E11B6">
      <w:r w:rsidRPr="000E11B6">
        <w:t>σ=E</w:t>
      </w:r>
      <w:r w:rsidRPr="000E11B6">
        <w:rPr>
          <w:rFonts w:ascii="Cambria Math" w:hAnsi="Cambria Math" w:cs="Cambria Math"/>
        </w:rPr>
        <w:t>⋅</w:t>
      </w:r>
      <w:r w:rsidRPr="000E11B6">
        <w:t>α</w:t>
      </w:r>
      <w:r w:rsidRPr="000E11B6">
        <w:rPr>
          <w:rFonts w:ascii="Cambria Math" w:hAnsi="Cambria Math" w:cs="Cambria Math"/>
        </w:rPr>
        <w:t>⋅</w:t>
      </w:r>
      <w:r w:rsidRPr="000E11B6">
        <w:t>ΔT</w:t>
      </w:r>
    </w:p>
    <w:p w14:paraId="3F0820F1" w14:textId="77777777" w:rsidR="000E11B6" w:rsidRPr="000E11B6" w:rsidRDefault="000E11B6" w:rsidP="000E11B6">
      <w:r w:rsidRPr="000E11B6">
        <w:t>Where:</w:t>
      </w:r>
    </w:p>
    <w:p w14:paraId="7E44D059" w14:textId="77777777" w:rsidR="000E11B6" w:rsidRDefault="000E11B6" w:rsidP="000E11B6">
      <w:pPr>
        <w:numPr>
          <w:ilvl w:val="0"/>
          <w:numId w:val="11"/>
        </w:numPr>
      </w:pPr>
      <w:r w:rsidRPr="000E11B6">
        <w:t>E=70 </w:t>
      </w:r>
      <w:proofErr w:type="spellStart"/>
      <w:r w:rsidRPr="000E11B6">
        <w:t>GPa</w:t>
      </w:r>
      <w:proofErr w:type="spellEnd"/>
    </w:p>
    <w:p w14:paraId="7E31A466" w14:textId="719487BD" w:rsidR="000E11B6" w:rsidRDefault="000E11B6" w:rsidP="000E11B6">
      <w:pPr>
        <w:numPr>
          <w:ilvl w:val="0"/>
          <w:numId w:val="11"/>
        </w:numPr>
      </w:pPr>
      <w:r w:rsidRPr="000E11B6">
        <w:lastRenderedPageBreak/>
        <w:t xml:space="preserve"> α=22×10</w:t>
      </w:r>
      <w:proofErr w:type="gramStart"/>
      <w:r>
        <w:t>^(</w:t>
      </w:r>
      <w:proofErr w:type="gramEnd"/>
      <w:r w:rsidRPr="000E11B6">
        <w:t>−6</w:t>
      </w:r>
      <w:r>
        <w:t>)</w:t>
      </w:r>
      <w:r w:rsidRPr="000E11B6">
        <w:t> °C</w:t>
      </w:r>
      <w:r>
        <w:t>^</w:t>
      </w:r>
      <w:r w:rsidRPr="000E11B6">
        <w:t>−1</w:t>
      </w:r>
      <w:r>
        <w:t xml:space="preserve">  </w:t>
      </w:r>
    </w:p>
    <w:p w14:paraId="35E49A9D" w14:textId="517CC8E0" w:rsidR="000E11B6" w:rsidRPr="000E11B6" w:rsidRDefault="000E11B6" w:rsidP="000E11B6">
      <w:pPr>
        <w:numPr>
          <w:ilvl w:val="0"/>
          <w:numId w:val="11"/>
        </w:numPr>
      </w:pPr>
      <w:r w:rsidRPr="000E11B6">
        <w:t xml:space="preserve"> and ΔT=0.8 °C</w:t>
      </w:r>
    </w:p>
    <w:p w14:paraId="6BD9E20D" w14:textId="13A1C6B9" w:rsidR="000E11B6" w:rsidRDefault="000E11B6" w:rsidP="000E11B6">
      <w:r w:rsidRPr="000E11B6">
        <w:t>σ=70×10</w:t>
      </w:r>
      <w:r>
        <w:t>^</w:t>
      </w:r>
      <w:r w:rsidRPr="000E11B6">
        <w:t>9</w:t>
      </w:r>
      <w:r>
        <w:rPr>
          <w:rFonts w:ascii="Cambria Math" w:hAnsi="Cambria Math" w:cs="Cambria Math"/>
        </w:rPr>
        <w:t>x</w:t>
      </w:r>
      <w:r w:rsidRPr="000E11B6">
        <w:t>22</w:t>
      </w:r>
      <w:r w:rsidRPr="000E11B6">
        <w:rPr>
          <w:rFonts w:ascii="Calibri" w:hAnsi="Calibri" w:cs="Calibri"/>
        </w:rPr>
        <w:t>×</w:t>
      </w:r>
      <w:r w:rsidRPr="000E11B6">
        <w:t>10</w:t>
      </w:r>
      <w:proofErr w:type="gramStart"/>
      <w:r>
        <w:rPr>
          <w:rFonts w:ascii="Calibri" w:hAnsi="Calibri" w:cs="Calibri"/>
        </w:rPr>
        <w:t>^(</w:t>
      </w:r>
      <w:proofErr w:type="gramEnd"/>
      <w:r>
        <w:rPr>
          <w:rFonts w:ascii="Calibri" w:hAnsi="Calibri" w:cs="Calibri"/>
        </w:rPr>
        <w:t>-</w:t>
      </w:r>
      <w:r w:rsidRPr="000E11B6">
        <w:t>6</w:t>
      </w:r>
      <w:r>
        <w:t>)</w:t>
      </w:r>
      <w:r>
        <w:rPr>
          <w:rFonts w:ascii="Cambria Math" w:hAnsi="Cambria Math" w:cs="Cambria Math"/>
        </w:rPr>
        <w:t>x</w:t>
      </w:r>
      <w:r w:rsidRPr="000E11B6">
        <w:t>0.8=1.23</w:t>
      </w:r>
      <w:r w:rsidRPr="000E11B6">
        <w:rPr>
          <w:rFonts w:ascii="Calibri" w:hAnsi="Calibri" w:cs="Calibri"/>
        </w:rPr>
        <w:t> </w:t>
      </w:r>
      <w:r w:rsidRPr="000E11B6">
        <w:t>MPa</w:t>
      </w:r>
    </w:p>
    <w:p w14:paraId="43924B08" w14:textId="20C20C67" w:rsidR="00C416FC" w:rsidRPr="00C416FC" w:rsidRDefault="000E11B6" w:rsidP="000E11B6">
      <w:r w:rsidRPr="000E11B6">
        <w:t xml:space="preserve"> </w:t>
      </w:r>
      <w:r w:rsidR="00C416FC" w:rsidRPr="00C416FC">
        <w:t>The calculated stress is well below alumin</w:t>
      </w:r>
      <w:r>
        <w:t>i</w:t>
      </w:r>
      <w:r w:rsidR="00C416FC" w:rsidRPr="00C416FC">
        <w:t>um’s yield strength, confirming structural safety.</w:t>
      </w:r>
    </w:p>
    <w:p w14:paraId="5E555B8E" w14:textId="77777777" w:rsidR="00C416FC" w:rsidRPr="00C416FC" w:rsidRDefault="00C416FC" w:rsidP="00C416FC">
      <w:pPr>
        <w:rPr>
          <w:b/>
          <w:bCs/>
        </w:rPr>
      </w:pPr>
      <w:r w:rsidRPr="00C416FC">
        <w:rPr>
          <w:b/>
          <w:bCs/>
        </w:rPr>
        <w:t>Deformation Analysis</w:t>
      </w:r>
    </w:p>
    <w:p w14:paraId="0BA634C6" w14:textId="73852E96" w:rsidR="00C416FC" w:rsidRPr="00C416FC" w:rsidRDefault="00C416FC" w:rsidP="002948A7">
      <w:pPr>
        <w:spacing w:after="120"/>
      </w:pPr>
      <w:r w:rsidRPr="00C416FC">
        <w:t>Maximum deformation occurred at the fin tips, with a negligible value of &lt;0.01 mm</w:t>
      </w:r>
      <w:r w:rsidR="000E11B6">
        <w:t>.</w:t>
      </w:r>
      <w:r w:rsidRPr="00C416FC">
        <w:t xml:space="preserve"> This validates the design’s robustness under operational conditions.</w:t>
      </w:r>
    </w:p>
    <w:p w14:paraId="118AE4C3" w14:textId="33832606" w:rsidR="000E11B6" w:rsidRPr="00CD6BB8" w:rsidRDefault="006D1CA2" w:rsidP="00C416FC">
      <w:r>
        <w:pict w14:anchorId="53AB4AA8">
          <v:rect id="_x0000_i1032" style="width:0;height:1.5pt" o:hralign="center" o:hrstd="t" o:hr="t" fillcolor="#a0a0a0" stroked="f"/>
        </w:pict>
      </w:r>
    </w:p>
    <w:p w14:paraId="6B58091D" w14:textId="5F0D0522" w:rsidR="00C416FC" w:rsidRPr="00C416FC" w:rsidRDefault="00C416FC" w:rsidP="00C416FC">
      <w:pPr>
        <w:rPr>
          <w:b/>
          <w:bCs/>
          <w:sz w:val="24"/>
          <w:szCs w:val="24"/>
          <w:u w:val="single"/>
        </w:rPr>
      </w:pPr>
      <w:r w:rsidRPr="00C416FC">
        <w:rPr>
          <w:b/>
          <w:bCs/>
          <w:sz w:val="24"/>
          <w:szCs w:val="24"/>
          <w:u w:val="single"/>
        </w:rPr>
        <w:t>Conclusion</w:t>
      </w:r>
    </w:p>
    <w:p w14:paraId="2B62817E" w14:textId="57592322" w:rsidR="00C416FC" w:rsidRPr="00C416FC" w:rsidRDefault="00C416FC" w:rsidP="00C416FC">
      <w:r w:rsidRPr="00C416FC">
        <w:t>This study highlights the thermal and structural reliability of an alumin</w:t>
      </w:r>
      <w:r w:rsidR="000E11B6">
        <w:t>i</w:t>
      </w:r>
      <w:r w:rsidRPr="00C416FC">
        <w:t>um heat sink for electronic cooling applications.</w:t>
      </w:r>
    </w:p>
    <w:p w14:paraId="7D0E952A" w14:textId="77777777" w:rsidR="00C416FC" w:rsidRPr="00C416FC" w:rsidRDefault="00C416FC" w:rsidP="00C416FC">
      <w:r w:rsidRPr="00C416FC">
        <w:rPr>
          <w:b/>
          <w:bCs/>
        </w:rPr>
        <w:t>Key Findings</w:t>
      </w:r>
      <w:r w:rsidRPr="00C416FC">
        <w:t>:</w:t>
      </w:r>
    </w:p>
    <w:p w14:paraId="337D56A8" w14:textId="77777777" w:rsidR="00C416FC" w:rsidRPr="00C416FC" w:rsidRDefault="00C416FC" w:rsidP="00C416FC">
      <w:pPr>
        <w:numPr>
          <w:ilvl w:val="0"/>
          <w:numId w:val="8"/>
        </w:numPr>
      </w:pPr>
      <w:r w:rsidRPr="00C416FC">
        <w:t>Uniform temperature distribution and effective heat dissipation were achieved under steady-state and transient conditions.</w:t>
      </w:r>
    </w:p>
    <w:p w14:paraId="6A72422C" w14:textId="77777777" w:rsidR="00C416FC" w:rsidRPr="00C416FC" w:rsidRDefault="00C416FC" w:rsidP="00C416FC">
      <w:pPr>
        <w:numPr>
          <w:ilvl w:val="0"/>
          <w:numId w:val="8"/>
        </w:numPr>
      </w:pPr>
      <w:r w:rsidRPr="00C416FC">
        <w:t>The design exhibited minimal deformation and thermal stress, ensuring structural integrity.</w:t>
      </w:r>
    </w:p>
    <w:p w14:paraId="375FFDC4" w14:textId="68C00E02" w:rsidR="0031770E" w:rsidRPr="00CD6BB8" w:rsidRDefault="00C416FC" w:rsidP="00C416FC">
      <w:pPr>
        <w:numPr>
          <w:ilvl w:val="0"/>
          <w:numId w:val="8"/>
        </w:numPr>
      </w:pPr>
      <w:r w:rsidRPr="00C416FC">
        <w:t>Alumin</w:t>
      </w:r>
      <w:r w:rsidR="000E11B6">
        <w:t>i</w:t>
      </w:r>
      <w:r w:rsidRPr="00C416FC">
        <w:t>um’s high thermal conductivity and mechanical strength make it an ideal material for heat sinks.</w:t>
      </w:r>
      <w:r w:rsidR="0031770E">
        <w:t xml:space="preserve"> </w:t>
      </w:r>
      <w:r w:rsidRPr="00C416FC">
        <w:t>Future work could explore alternative geometries, materials, and coatings to enhance performance further.</w:t>
      </w:r>
      <w:r w:rsidR="002948A7">
        <w:pict w14:anchorId="6D5BEDBD">
          <v:rect id="_x0000_i1033" style="width:410.3pt;height:1.75pt" o:hrpct="988" o:hralign="center" o:hrstd="t" o:hr="t" fillcolor="#a0a0a0" stroked="f"/>
        </w:pict>
      </w:r>
    </w:p>
    <w:p w14:paraId="0615F87B" w14:textId="41F0364D" w:rsidR="00C416FC" w:rsidRPr="00C416FC" w:rsidRDefault="00C416FC" w:rsidP="00C416FC">
      <w:pPr>
        <w:rPr>
          <w:b/>
          <w:bCs/>
        </w:rPr>
      </w:pPr>
      <w:r w:rsidRPr="00C416FC">
        <w:rPr>
          <w:b/>
          <w:bCs/>
        </w:rPr>
        <w:t>Appendix</w:t>
      </w:r>
    </w:p>
    <w:p w14:paraId="13EA29D4" w14:textId="77777777" w:rsidR="00C416FC" w:rsidRPr="00C416FC" w:rsidRDefault="00C416FC" w:rsidP="00C416FC">
      <w:pPr>
        <w:rPr>
          <w:b/>
          <w:bCs/>
        </w:rPr>
      </w:pPr>
      <w:r w:rsidRPr="00C416FC">
        <w:rPr>
          <w:b/>
          <w:bCs/>
        </w:rPr>
        <w:t>List of Equations</w:t>
      </w:r>
    </w:p>
    <w:p w14:paraId="195364C3" w14:textId="7A71FB82" w:rsidR="00C416FC" w:rsidRPr="00C416FC" w:rsidRDefault="00C416FC" w:rsidP="00C416FC">
      <w:pPr>
        <w:numPr>
          <w:ilvl w:val="0"/>
          <w:numId w:val="9"/>
        </w:numPr>
      </w:pPr>
      <w:r w:rsidRPr="00C416FC">
        <w:t>Fourier’s Law: T(x)=T0−</w:t>
      </w:r>
      <w:r w:rsidR="0031770E">
        <w:t>[</w:t>
      </w:r>
      <w:r w:rsidR="000E11B6">
        <w:t>(</w:t>
      </w:r>
      <w:proofErr w:type="spellStart"/>
      <w:r w:rsidRPr="00C416FC">
        <w:t>q</w:t>
      </w:r>
      <w:r w:rsidR="000E11B6">
        <w:rPr>
          <w:rFonts w:ascii="Cambria Math" w:hAnsi="Cambria Math" w:cs="Cambria Math"/>
        </w:rPr>
        <w:t>x</w:t>
      </w:r>
      <w:proofErr w:type="spellEnd"/>
      <w:r w:rsidR="000E11B6">
        <w:rPr>
          <w:rFonts w:ascii="Cambria Math" w:hAnsi="Cambria Math" w:cs="Cambria Math"/>
        </w:rPr>
        <w:t>)</w:t>
      </w:r>
      <w:r w:rsidR="0031770E">
        <w:rPr>
          <w:rFonts w:ascii="Cambria Math" w:hAnsi="Cambria Math" w:cs="Cambria Math"/>
        </w:rPr>
        <w:t>/</w:t>
      </w:r>
      <w:r w:rsidRPr="00C416FC">
        <w:t>k</w:t>
      </w:r>
      <w:r w:rsidR="0031770E">
        <w:t>]</w:t>
      </w:r>
    </w:p>
    <w:p w14:paraId="2F4D4FE7" w14:textId="58633F69" w:rsidR="00C416FC" w:rsidRPr="00C416FC" w:rsidRDefault="00C416FC" w:rsidP="00C416FC">
      <w:pPr>
        <w:numPr>
          <w:ilvl w:val="0"/>
          <w:numId w:val="9"/>
        </w:numPr>
      </w:pPr>
      <w:r w:rsidRPr="00C416FC">
        <w:t>Thermal Stress: σ=E</w:t>
      </w:r>
      <w:r w:rsidRPr="00C416FC">
        <w:rPr>
          <w:rFonts w:ascii="Cambria Math" w:hAnsi="Cambria Math" w:cs="Cambria Math"/>
        </w:rPr>
        <w:t>⋅</w:t>
      </w:r>
      <w:r w:rsidRPr="00C416FC">
        <w:rPr>
          <w:rFonts w:ascii="Calibri" w:hAnsi="Calibri" w:cs="Calibri"/>
        </w:rPr>
        <w:t>α</w:t>
      </w:r>
      <w:r w:rsidRPr="00C416FC">
        <w:rPr>
          <w:rFonts w:ascii="Cambria Math" w:hAnsi="Cambria Math" w:cs="Cambria Math"/>
        </w:rPr>
        <w:t>⋅</w:t>
      </w:r>
      <w:r w:rsidRPr="00C416FC">
        <w:rPr>
          <w:rFonts w:ascii="Calibri" w:hAnsi="Calibri" w:cs="Calibri"/>
        </w:rPr>
        <w:t>Δ</w:t>
      </w:r>
      <w:r w:rsidRPr="00C416FC">
        <w:t>T</w:t>
      </w:r>
    </w:p>
    <w:p w14:paraId="43FF1A33" w14:textId="77777777" w:rsidR="00C416FC" w:rsidRPr="00C416FC" w:rsidRDefault="00C416FC" w:rsidP="00C416FC">
      <w:pPr>
        <w:rPr>
          <w:b/>
          <w:bCs/>
        </w:rPr>
      </w:pPr>
      <w:r w:rsidRPr="00C416FC">
        <w:rPr>
          <w:b/>
          <w:bCs/>
        </w:rPr>
        <w:t>References</w:t>
      </w:r>
    </w:p>
    <w:p w14:paraId="19B2EF5C" w14:textId="77777777" w:rsidR="00C416FC" w:rsidRPr="00C416FC" w:rsidRDefault="00C416FC" w:rsidP="00C416FC">
      <w:pPr>
        <w:numPr>
          <w:ilvl w:val="0"/>
          <w:numId w:val="10"/>
        </w:numPr>
      </w:pPr>
      <w:r w:rsidRPr="00C416FC">
        <w:t>Material Properties Database, ASM International.</w:t>
      </w:r>
    </w:p>
    <w:p w14:paraId="00956495" w14:textId="77777777" w:rsidR="00C416FC" w:rsidRPr="00C416FC" w:rsidRDefault="00C416FC" w:rsidP="00C416FC">
      <w:pPr>
        <w:numPr>
          <w:ilvl w:val="0"/>
          <w:numId w:val="10"/>
        </w:numPr>
      </w:pPr>
      <w:r w:rsidRPr="00C416FC">
        <w:t>Simulation Tools: ANSYS 2024 R2.</w:t>
      </w:r>
    </w:p>
    <w:p w14:paraId="2F8C22BB" w14:textId="55D39DC0" w:rsidR="005153D7" w:rsidRDefault="006D1CA2">
      <w:r>
        <w:lastRenderedPageBreak/>
        <w:pict w14:anchorId="7ABC5C46">
          <v:rect id="_x0000_i1034" style="width:0;height:1.5pt" o:hralign="center" o:hrstd="t" o:hr="t" fillcolor="#a0a0a0" stroked="f"/>
        </w:pict>
      </w:r>
    </w:p>
    <w:sectPr w:rsidR="0051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393D"/>
    <w:multiLevelType w:val="multilevel"/>
    <w:tmpl w:val="46E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09C6"/>
    <w:multiLevelType w:val="multilevel"/>
    <w:tmpl w:val="6784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839D9"/>
    <w:multiLevelType w:val="multilevel"/>
    <w:tmpl w:val="D63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809BE"/>
    <w:multiLevelType w:val="multilevel"/>
    <w:tmpl w:val="C95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031B6"/>
    <w:multiLevelType w:val="multilevel"/>
    <w:tmpl w:val="B858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21E32"/>
    <w:multiLevelType w:val="multilevel"/>
    <w:tmpl w:val="4AC4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24F2A"/>
    <w:multiLevelType w:val="multilevel"/>
    <w:tmpl w:val="A7E0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83B94"/>
    <w:multiLevelType w:val="multilevel"/>
    <w:tmpl w:val="AE88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D359E"/>
    <w:multiLevelType w:val="multilevel"/>
    <w:tmpl w:val="6194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46445"/>
    <w:multiLevelType w:val="multilevel"/>
    <w:tmpl w:val="EB5E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D62C2"/>
    <w:multiLevelType w:val="multilevel"/>
    <w:tmpl w:val="D96E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12210">
    <w:abstractNumId w:val="0"/>
  </w:num>
  <w:num w:numId="2" w16cid:durableId="1112631662">
    <w:abstractNumId w:val="6"/>
  </w:num>
  <w:num w:numId="3" w16cid:durableId="525676215">
    <w:abstractNumId w:val="7"/>
  </w:num>
  <w:num w:numId="4" w16cid:durableId="884678701">
    <w:abstractNumId w:val="9"/>
  </w:num>
  <w:num w:numId="5" w16cid:durableId="305166135">
    <w:abstractNumId w:val="1"/>
  </w:num>
  <w:num w:numId="6" w16cid:durableId="910891178">
    <w:abstractNumId w:val="3"/>
  </w:num>
  <w:num w:numId="7" w16cid:durableId="1578904789">
    <w:abstractNumId w:val="10"/>
  </w:num>
  <w:num w:numId="8" w16cid:durableId="464615696">
    <w:abstractNumId w:val="4"/>
  </w:num>
  <w:num w:numId="9" w16cid:durableId="824050319">
    <w:abstractNumId w:val="5"/>
  </w:num>
  <w:num w:numId="10" w16cid:durableId="1504275645">
    <w:abstractNumId w:val="8"/>
  </w:num>
  <w:num w:numId="11" w16cid:durableId="149730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FC"/>
    <w:rsid w:val="000E11B6"/>
    <w:rsid w:val="00107F4B"/>
    <w:rsid w:val="00155B9E"/>
    <w:rsid w:val="002431FA"/>
    <w:rsid w:val="002948A7"/>
    <w:rsid w:val="0031770E"/>
    <w:rsid w:val="005153D7"/>
    <w:rsid w:val="006D1CA2"/>
    <w:rsid w:val="008B5F74"/>
    <w:rsid w:val="00A470EB"/>
    <w:rsid w:val="00BC3B0F"/>
    <w:rsid w:val="00C416FC"/>
    <w:rsid w:val="00C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A628DA4"/>
  <w15:chartTrackingRefBased/>
  <w15:docId w15:val="{8E166487-99C7-4A79-9123-0EDBD886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3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Aditya Singh</dc:creator>
  <cp:keywords/>
  <dc:description/>
  <cp:lastModifiedBy>Srijan Aditya Singh</cp:lastModifiedBy>
  <cp:revision>2</cp:revision>
  <cp:lastPrinted>2024-12-12T04:48:00Z</cp:lastPrinted>
  <dcterms:created xsi:type="dcterms:W3CDTF">2025-01-12T07:34:00Z</dcterms:created>
  <dcterms:modified xsi:type="dcterms:W3CDTF">2025-01-12T07:34:00Z</dcterms:modified>
</cp:coreProperties>
</file>