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Brainstorm &amp; Idea Prioritization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10.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28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LTVIP2025TMID48549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Cosmetic Insights : Navigating Cosmetics Trends and Consumer Insights with Tableau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8"/>
          <w:szCs w:val="28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Formed a collaborative team with diverse skills in data analysis and market research. Brainstormed industry challenges and identified a gap in understanding cosmetic trends and consumer behavior. Finalized a problem statement focused on using Tableau to uncover insights that drive strategic brand decisions.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8"/>
          <w:szCs w:val="28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Ideas include: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Top-Selling Products by category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Emerging Market Trends across time periods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Consumer Purchase Behavior by age, gender, and region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Media Sentiment Analysison cosmetic brands/products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Regional Demand Heatmap for different cosmetic categories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Seasonal Trends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 Comparison Dashboard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Reviews Analysis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Launch Impact on sales and market share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Audience Segmentation for personalized marketing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Recommendation Trends based on consumer preferences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Ingredients Popularity Tracking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8"/>
          <w:szCs w:val="28"/>
          <w:rtl w:val="0"/>
        </w:rPr>
        <w:t xml:space="preserve">Step-3: Idea Prioritization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2.7999999999993"/>
        <w:gridCol w:w="1449.6000000000001"/>
        <w:gridCol w:w="4553.6"/>
        <w:tblGridChange w:id="0">
          <w:tblGrid>
            <w:gridCol w:w="3022.7999999999993"/>
            <w:gridCol w:w="1449.6000000000001"/>
            <w:gridCol w:w="4553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Reason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Top-Selling Products by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 business value; easy to visualize and compare in Tableau.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Consumer Purchase 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Crucial for marketing and segmentation; widely available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 Trends Over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Time-series data helps in forecasting and strategic planning.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Seasonal Trend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Niche value unless backed by strong time-tagged sales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Sentiment Analysis on Reviews/Social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Valuable but may require NLP preprocessing and external APIs.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