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21BBD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46F0266" w14:textId="77777777" w:rsidR="00296217" w:rsidRDefault="00296217"/>
        </w:tc>
      </w:tr>
    </w:tbl>
    <w:p w14:paraId="3E3B98B1" w14:textId="77777777" w:rsidR="00296217" w:rsidRDefault="00296217">
      <w:pPr>
        <w:spacing w:before="700"/>
      </w:pPr>
    </w:p>
    <w:p w14:paraId="0F5D9DFD" w14:textId="79102C3C" w:rsidR="00296217" w:rsidRDefault="00F16342">
      <w:pPr>
        <w:spacing w:after="80"/>
      </w:pPr>
      <w:r>
        <w:rPr>
          <w:b/>
          <w:bCs/>
          <w:color w:val="2E75B6"/>
          <w:sz w:val="64"/>
          <w:szCs w:val="64"/>
        </w:rPr>
        <w:t xml:space="preserve">TELCO </w:t>
      </w:r>
      <w:r w:rsidR="00AA5ADB">
        <w:rPr>
          <w:b/>
          <w:bCs/>
          <w:color w:val="2E75B6"/>
          <w:sz w:val="64"/>
          <w:szCs w:val="64"/>
        </w:rPr>
        <w:t>CUSTOMER</w:t>
      </w:r>
    </w:p>
    <w:p w14:paraId="1582A4AA" w14:textId="77777777" w:rsidR="00296217" w:rsidRDefault="00AA5ADB">
      <w:pPr>
        <w:spacing w:after="80"/>
      </w:pPr>
      <w:r>
        <w:rPr>
          <w:b/>
          <w:bCs/>
          <w:sz w:val="64"/>
          <w:szCs w:val="64"/>
        </w:rPr>
        <w:t>CHURN ANALYSIS</w:t>
      </w:r>
    </w:p>
    <w:p w14:paraId="4FF3D89C" w14:textId="77777777" w:rsidR="00296217" w:rsidRDefault="00AA5ADB">
      <w:pPr>
        <w:spacing w:after="240"/>
      </w:pPr>
      <w:r>
        <w:rPr>
          <w:b/>
          <w:bCs/>
          <w:sz w:val="64"/>
          <w:szCs w:val="64"/>
        </w:rPr>
        <w:t>REPORT</w:t>
      </w:r>
    </w:p>
    <w:p w14:paraId="58C9C41E" w14:textId="77777777" w:rsidR="00296217" w:rsidRDefault="00296217">
      <w:pPr>
        <w:pBdr>
          <w:bottom w:val="single" w:sz="12" w:space="1" w:color="2E75B6"/>
        </w:pBdr>
        <w:spacing w:after="160"/>
      </w:pPr>
    </w:p>
    <w:p w14:paraId="4F759EDF" w14:textId="77777777" w:rsidR="00296217" w:rsidRDefault="00296217">
      <w:pPr>
        <w:spacing w:before="80"/>
      </w:pPr>
    </w:p>
    <w:p w14:paraId="6E5CA108" w14:textId="7C7E03A9" w:rsidR="00296217" w:rsidRDefault="00AA5ADB">
      <w:pPr>
        <w:spacing w:after="60"/>
        <w:rPr>
          <w:i/>
          <w:iCs/>
          <w:color w:val="6C7A8D"/>
          <w:sz w:val="28"/>
          <w:szCs w:val="28"/>
        </w:rPr>
      </w:pPr>
      <w:r>
        <w:rPr>
          <w:i/>
          <w:iCs/>
          <w:color w:val="6C7A8D"/>
          <w:sz w:val="28"/>
          <w:szCs w:val="28"/>
        </w:rPr>
        <w:t>Insights &amp; Recommendations to Reduce Customer Attrition</w:t>
      </w:r>
    </w:p>
    <w:p w14:paraId="0BB81565" w14:textId="77777777" w:rsidR="00F16342" w:rsidRDefault="00F16342">
      <w:pPr>
        <w:spacing w:after="60"/>
        <w:rPr>
          <w:color w:val="6C7A8D"/>
          <w:sz w:val="18"/>
          <w:szCs w:val="18"/>
        </w:rPr>
      </w:pPr>
    </w:p>
    <w:p w14:paraId="5EE31CED" w14:textId="77777777" w:rsidR="00F16342" w:rsidRDefault="00F16342">
      <w:pPr>
        <w:spacing w:after="60"/>
        <w:rPr>
          <w:color w:val="6C7A8D"/>
          <w:sz w:val="18"/>
          <w:szCs w:val="18"/>
        </w:rPr>
      </w:pPr>
    </w:p>
    <w:p w14:paraId="095F72FE" w14:textId="233C5DA1" w:rsidR="00F16342" w:rsidRDefault="00F16342">
      <w:pPr>
        <w:spacing w:after="60"/>
      </w:pPr>
      <w:r>
        <w:rPr>
          <w:color w:val="6C7A8D"/>
          <w:sz w:val="18"/>
          <w:szCs w:val="18"/>
        </w:rPr>
        <w:t xml:space="preserve">Data Source: </w:t>
      </w:r>
      <w:r w:rsidR="00FA2459">
        <w:rPr>
          <w:color w:val="6C7A8D"/>
          <w:sz w:val="18"/>
          <w:szCs w:val="18"/>
        </w:rPr>
        <w:t>Kaggle</w:t>
      </w:r>
    </w:p>
    <w:p w14:paraId="729AAFCE" w14:textId="49D9946D" w:rsidR="00296217" w:rsidRDefault="00296217">
      <w:pPr>
        <w:spacing w:before="600"/>
      </w:pPr>
    </w:p>
    <w:p w14:paraId="3B1FFBC1" w14:textId="77777777" w:rsidR="00F16342" w:rsidRDefault="00F16342">
      <w:pPr>
        <w:spacing w:before="600"/>
      </w:pPr>
    </w:p>
    <w:tbl>
      <w:tblPr>
        <w:tblW w:w="10207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2268"/>
        <w:gridCol w:w="3261"/>
        <w:gridCol w:w="2551"/>
      </w:tblGrid>
      <w:tr w:rsidR="00296217" w14:paraId="3268532B" w14:textId="77777777" w:rsidTr="00F16342">
        <w:tblPrEx>
          <w:tblCellMar>
            <w:top w:w="0" w:type="dxa"/>
            <w:bottom w:w="0" w:type="dxa"/>
          </w:tblCellMar>
        </w:tblPrEx>
        <w:trPr>
          <w:trHeight w:val="993"/>
        </w:trPr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3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577470" w14:textId="77777777" w:rsidR="00296217" w:rsidRDefault="00AA5ADB">
            <w:pPr>
              <w:spacing w:after="6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26.5%</w:t>
            </w:r>
          </w:p>
          <w:p w14:paraId="3D1AB73E" w14:textId="77777777" w:rsidR="00296217" w:rsidRDefault="00AA5ADB">
            <w:pPr>
              <w:jc w:val="center"/>
            </w:pPr>
            <w:r>
              <w:rPr>
                <w:sz w:val="18"/>
                <w:szCs w:val="18"/>
              </w:rPr>
              <w:t>Overall Churn Rate</w:t>
            </w:r>
          </w:p>
        </w:tc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F49519" w14:textId="77777777" w:rsidR="00296217" w:rsidRDefault="00AA5ADB">
            <w:pPr>
              <w:spacing w:after="60"/>
              <w:jc w:val="center"/>
            </w:pPr>
            <w:r>
              <w:rPr>
                <w:b/>
                <w:bCs/>
                <w:color w:val="6C3483"/>
                <w:sz w:val="36"/>
                <w:szCs w:val="36"/>
              </w:rPr>
              <w:t>Seniors</w:t>
            </w:r>
          </w:p>
          <w:p w14:paraId="7608B62C" w14:textId="77777777" w:rsidR="00296217" w:rsidRDefault="00AA5ADB">
            <w:pPr>
              <w:jc w:val="center"/>
            </w:pPr>
            <w:r>
              <w:rPr>
                <w:sz w:val="18"/>
                <w:szCs w:val="18"/>
              </w:rPr>
              <w:t>Highest Risk Group</w:t>
            </w:r>
          </w:p>
        </w:tc>
        <w:tc>
          <w:tcPr>
            <w:tcW w:w="32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41AADF" w14:textId="3B3C2F96" w:rsidR="00296217" w:rsidRDefault="00AA5ADB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36"/>
                <w:szCs w:val="36"/>
              </w:rPr>
              <w:t>M</w:t>
            </w:r>
            <w:r w:rsidR="00761CC9">
              <w:rPr>
                <w:b/>
                <w:bCs/>
                <w:color w:val="C0392B"/>
                <w:sz w:val="36"/>
                <w:szCs w:val="36"/>
              </w:rPr>
              <w:t>onth</w:t>
            </w:r>
            <w:r>
              <w:rPr>
                <w:b/>
                <w:bCs/>
                <w:color w:val="C0392B"/>
                <w:sz w:val="36"/>
                <w:szCs w:val="36"/>
              </w:rPr>
              <w:t>-to-M</w:t>
            </w:r>
            <w:r w:rsidR="00761CC9">
              <w:rPr>
                <w:b/>
                <w:bCs/>
                <w:color w:val="C0392B"/>
                <w:sz w:val="36"/>
                <w:szCs w:val="36"/>
              </w:rPr>
              <w:t>onth</w:t>
            </w:r>
          </w:p>
          <w:p w14:paraId="3D4514A3" w14:textId="77777777" w:rsidR="00296217" w:rsidRDefault="00AA5ADB">
            <w:pPr>
              <w:jc w:val="center"/>
            </w:pPr>
            <w:r>
              <w:rPr>
                <w:sz w:val="18"/>
                <w:szCs w:val="18"/>
              </w:rPr>
              <w:t>Riskiest Contract</w:t>
            </w:r>
          </w:p>
        </w:tc>
        <w:tc>
          <w:tcPr>
            <w:tcW w:w="25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359313" w14:textId="77777777" w:rsidR="00296217" w:rsidRDefault="00AA5ADB">
            <w:pPr>
              <w:spacing w:after="60"/>
              <w:jc w:val="center"/>
            </w:pPr>
            <w:r>
              <w:rPr>
                <w:b/>
                <w:bCs/>
                <w:color w:val="D4820A"/>
                <w:sz w:val="36"/>
                <w:szCs w:val="36"/>
              </w:rPr>
              <w:t>E-Check</w:t>
            </w:r>
          </w:p>
          <w:p w14:paraId="0857FBEC" w14:textId="77777777" w:rsidR="00296217" w:rsidRDefault="00AA5ADB">
            <w:pPr>
              <w:jc w:val="center"/>
            </w:pPr>
            <w:r>
              <w:rPr>
                <w:sz w:val="18"/>
                <w:szCs w:val="18"/>
              </w:rPr>
              <w:t>Riskiest Payment</w:t>
            </w:r>
          </w:p>
        </w:tc>
      </w:tr>
    </w:tbl>
    <w:p w14:paraId="674B6891" w14:textId="77777777" w:rsidR="00296217" w:rsidRDefault="00296217">
      <w:pPr>
        <w:spacing w:before="400"/>
      </w:pPr>
    </w:p>
    <w:p w14:paraId="52F77B9C" w14:textId="78165930" w:rsidR="00296217" w:rsidRDefault="00AA5ADB">
      <w:r>
        <w:rPr>
          <w:color w:val="6C7A8D"/>
          <w:sz w:val="18"/>
          <w:szCs w:val="18"/>
        </w:rPr>
        <w:t xml:space="preserve"> </w:t>
      </w:r>
    </w:p>
    <w:p w14:paraId="7B4DEFF4" w14:textId="77777777" w:rsidR="00296217" w:rsidRDefault="00AA5ADB">
      <w:r>
        <w:br w:type="page"/>
      </w:r>
    </w:p>
    <w:p w14:paraId="77FB4D23" w14:textId="71EC397C" w:rsidR="00296217" w:rsidRDefault="00AA5ADB">
      <w:pPr>
        <w:spacing w:before="320" w:after="80"/>
      </w:pPr>
      <w:r>
        <w:rPr>
          <w:b/>
          <w:bCs/>
          <w:color w:val="2E75B6"/>
          <w:sz w:val="28"/>
          <w:szCs w:val="28"/>
        </w:rPr>
        <w:lastRenderedPageBreak/>
        <w:t>01</w:t>
      </w:r>
      <w:r>
        <w:rPr>
          <w:b/>
          <w:bCs/>
          <w:sz w:val="28"/>
          <w:szCs w:val="28"/>
        </w:rPr>
        <w:t xml:space="preserve"> SUMMARY</w:t>
      </w:r>
    </w:p>
    <w:p w14:paraId="7ECB2E53" w14:textId="77777777" w:rsidR="00296217" w:rsidRDefault="00296217">
      <w:pPr>
        <w:pBdr>
          <w:bottom w:val="single" w:sz="12" w:space="1" w:color="2E75B6"/>
        </w:pBdr>
        <w:spacing w:after="160"/>
      </w:pPr>
    </w:p>
    <w:p w14:paraId="53BD14AC" w14:textId="153E6FEA" w:rsidR="00296217" w:rsidRDefault="00AA5ADB">
      <w:pPr>
        <w:spacing w:after="120"/>
      </w:pPr>
      <w:r>
        <w:t xml:space="preserve">This report presents a comprehensive analysis of customer churn </w:t>
      </w:r>
      <w:r w:rsidR="00761CC9">
        <w:t>behaviour</w:t>
      </w:r>
      <w:r>
        <w:t xml:space="preserve"> derived from the </w:t>
      </w:r>
      <w:r w:rsidR="00761CC9">
        <w:t xml:space="preserve">Telco </w:t>
      </w:r>
      <w:r>
        <w:t>Customer Churn dataset. The analysis identifies key drivers behind customer attrition and provides actionable recommendations to help reduce the churn rate from its c</w:t>
      </w:r>
      <w:r>
        <w:t>urrent level of 26.5%.</w:t>
      </w:r>
    </w:p>
    <w:p w14:paraId="17CEE154" w14:textId="77777777" w:rsidR="00296217" w:rsidRDefault="002962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8650"/>
      </w:tblGrid>
      <w:tr w:rsidR="00296217" w14:paraId="001501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76A71AFF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STAT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C38D6B" w14:textId="0632947F" w:rsidR="00296217" w:rsidRDefault="00AA5ADB">
            <w:r>
              <w:rPr>
                <w:sz w:val="20"/>
                <w:szCs w:val="20"/>
              </w:rPr>
              <w:t>26.54% of all customers have churned</w:t>
            </w:r>
            <w:r w:rsidR="00DD3C30">
              <w:rPr>
                <w:sz w:val="20"/>
                <w:szCs w:val="20"/>
              </w:rPr>
              <w:t xml:space="preserve"> which is</w:t>
            </w:r>
            <w:r>
              <w:rPr>
                <w:sz w:val="20"/>
                <w:szCs w:val="20"/>
              </w:rPr>
              <w:t xml:space="preserve"> roughly 1 in 4 customers is leaving the service.</w:t>
            </w:r>
          </w:p>
        </w:tc>
      </w:tr>
    </w:tbl>
    <w:p w14:paraId="40DB5492" w14:textId="77777777" w:rsidR="00296217" w:rsidRDefault="00296217">
      <w:pPr>
        <w:spacing w:before="120"/>
      </w:pPr>
    </w:p>
    <w:p w14:paraId="39483F7B" w14:textId="77777777" w:rsidR="00296217" w:rsidRDefault="00AA5ADB">
      <w:pPr>
        <w:spacing w:after="100"/>
      </w:pPr>
      <w:r>
        <w:t>The analysis reveals that churn is driven by four core factors:</w:t>
      </w:r>
    </w:p>
    <w:p w14:paraId="23B81C04" w14:textId="77777777" w:rsidR="00296217" w:rsidRDefault="00AA5ADB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Short customer tenure (1–2 months) with no early engagement hooks</w:t>
      </w:r>
    </w:p>
    <w:p w14:paraId="6917801F" w14:textId="77777777" w:rsidR="00296217" w:rsidRDefault="00AA5ADB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Month-to-month contracts offering no long-term commitment incentive</w:t>
      </w:r>
    </w:p>
    <w:p w14:paraId="459B07B8" w14:textId="2ACAC150" w:rsidR="00296217" w:rsidRDefault="00AA5ADB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Absence of value-added services like Online</w:t>
      </w:r>
      <w:r w:rsidR="00DD3C30">
        <w:rPr>
          <w:sz w:val="20"/>
          <w:szCs w:val="20"/>
        </w:rPr>
        <w:t xml:space="preserve"> </w:t>
      </w:r>
      <w:r>
        <w:rPr>
          <w:sz w:val="20"/>
          <w:szCs w:val="20"/>
        </w:rPr>
        <w:t>Security and Tech</w:t>
      </w:r>
      <w:r w:rsidR="00DD3C30">
        <w:rPr>
          <w:sz w:val="20"/>
          <w:szCs w:val="20"/>
        </w:rPr>
        <w:t xml:space="preserve"> </w:t>
      </w:r>
      <w:r>
        <w:rPr>
          <w:sz w:val="20"/>
          <w:szCs w:val="20"/>
        </w:rPr>
        <w:t>Support</w:t>
      </w:r>
    </w:p>
    <w:p w14:paraId="6783EB3E" w14:textId="77777777" w:rsidR="00296217" w:rsidRDefault="00AA5ADB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Electronic check payment method correlated with lower </w:t>
      </w:r>
      <w:r>
        <w:rPr>
          <w:sz w:val="20"/>
          <w:szCs w:val="20"/>
        </w:rPr>
        <w:t>commitment</w:t>
      </w:r>
    </w:p>
    <w:p w14:paraId="4AE49BB7" w14:textId="77777777" w:rsidR="00296217" w:rsidRDefault="00296217">
      <w:pPr>
        <w:spacing w:before="160"/>
      </w:pPr>
    </w:p>
    <w:p w14:paraId="3F368E6D" w14:textId="77777777" w:rsidR="00296217" w:rsidRDefault="00AA5ADB">
      <w:pPr>
        <w:spacing w:before="320" w:after="80"/>
      </w:pPr>
      <w:proofErr w:type="gramStart"/>
      <w:r>
        <w:rPr>
          <w:b/>
          <w:bCs/>
          <w:color w:val="2E75B6"/>
          <w:sz w:val="28"/>
          <w:szCs w:val="28"/>
        </w:rPr>
        <w:t xml:space="preserve">02  </w:t>
      </w:r>
      <w:r>
        <w:rPr>
          <w:b/>
          <w:bCs/>
          <w:sz w:val="28"/>
          <w:szCs w:val="28"/>
        </w:rPr>
        <w:t>KEY</w:t>
      </w:r>
      <w:proofErr w:type="gramEnd"/>
      <w:r>
        <w:rPr>
          <w:b/>
          <w:bCs/>
          <w:sz w:val="28"/>
          <w:szCs w:val="28"/>
        </w:rPr>
        <w:t xml:space="preserve"> FINDINGS</w:t>
      </w:r>
    </w:p>
    <w:p w14:paraId="2B02C85C" w14:textId="77777777" w:rsidR="00296217" w:rsidRDefault="00296217">
      <w:pPr>
        <w:pBdr>
          <w:bottom w:val="single" w:sz="12" w:space="1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536AC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CD4651" w14:textId="77777777" w:rsidR="00296217" w:rsidRDefault="00AA5ADB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 xml:space="preserve">→  </w:t>
            </w:r>
            <w:r>
              <w:rPr>
                <w:b/>
                <w:bCs/>
              </w:rPr>
              <w:t>Gender</w:t>
            </w:r>
            <w:proofErr w:type="gramEnd"/>
            <w:r>
              <w:rPr>
                <w:b/>
                <w:bCs/>
              </w:rPr>
              <w:t xml:space="preserve"> has no effect on churn  </w:t>
            </w:r>
          </w:p>
          <w:p w14:paraId="720F638B" w14:textId="77777777" w:rsidR="00296217" w:rsidRDefault="00AA5ADB">
            <w:r>
              <w:rPr>
                <w:color w:val="6C7A8D"/>
                <w:sz w:val="20"/>
                <w:szCs w:val="20"/>
              </w:rPr>
              <w:t>Churn rates are nearly identical across male and female customers. Gender is not a predictive factor and should not be used to target retention campaigns — resources are better spent elsewher</w:t>
            </w:r>
            <w:r>
              <w:rPr>
                <w:color w:val="6C7A8D"/>
                <w:sz w:val="20"/>
                <w:szCs w:val="20"/>
              </w:rPr>
              <w:t>e.</w:t>
            </w:r>
          </w:p>
        </w:tc>
      </w:tr>
    </w:tbl>
    <w:p w14:paraId="43885E9A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56C79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20EEA" w14:textId="77777777" w:rsidR="00296217" w:rsidRDefault="00AA5ADB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 xml:space="preserve">▲  </w:t>
            </w:r>
            <w:r>
              <w:rPr>
                <w:b/>
                <w:bCs/>
              </w:rPr>
              <w:t>Senior</w:t>
            </w:r>
            <w:proofErr w:type="gramEnd"/>
            <w:r>
              <w:rPr>
                <w:b/>
                <w:bCs/>
              </w:rPr>
              <w:t xml:space="preserve"> citizens churn at a disproportionately high rate  </w:t>
            </w:r>
            <w:r>
              <w:rPr>
                <w:b/>
                <w:bCs/>
                <w:color w:val="C0392B"/>
                <w:sz w:val="18"/>
                <w:szCs w:val="18"/>
                <w:highlight w:val="yellow"/>
              </w:rPr>
              <w:t xml:space="preserve">  HIGH RISK  </w:t>
            </w:r>
          </w:p>
          <w:p w14:paraId="2123001A" w14:textId="77777777" w:rsidR="00296217" w:rsidRDefault="00AA5ADB">
            <w:r>
              <w:rPr>
                <w:color w:val="6C7A8D"/>
                <w:sz w:val="20"/>
                <w:szCs w:val="20"/>
              </w:rPr>
              <w:t>A significantly greater percentage of senior citizens have churned compared to non-senior customers. This demographic may struggle with complex digital products and require dedicated, simplified support and tailored plan offerings.</w:t>
            </w:r>
          </w:p>
        </w:tc>
      </w:tr>
    </w:tbl>
    <w:p w14:paraId="42174959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17E27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5A5D0" w14:textId="77777777" w:rsidR="00296217" w:rsidRDefault="00AA5ADB">
            <w:pPr>
              <w:spacing w:after="60"/>
            </w:pPr>
            <w:r>
              <w:rPr>
                <w:b/>
                <w:bCs/>
                <w:color w:val="2E75B6"/>
              </w:rPr>
              <w:t xml:space="preserve">!  </w:t>
            </w:r>
            <w:r>
              <w:rPr>
                <w:b/>
                <w:bCs/>
              </w:rPr>
              <w:t xml:space="preserve">New customers (1–2 </w:t>
            </w:r>
            <w:r>
              <w:rPr>
                <w:b/>
                <w:bCs/>
              </w:rPr>
              <w:t xml:space="preserve">months) are the most vulnerable  </w:t>
            </w:r>
            <w:r>
              <w:rPr>
                <w:b/>
                <w:bCs/>
                <w:color w:val="C0392B"/>
                <w:sz w:val="18"/>
                <w:szCs w:val="18"/>
                <w:highlight w:val="yellow"/>
              </w:rPr>
              <w:t xml:space="preserve">  CRITICAL  </w:t>
            </w:r>
          </w:p>
          <w:p w14:paraId="6096E52B" w14:textId="77777777" w:rsidR="00296217" w:rsidRDefault="00AA5ADB">
            <w:r>
              <w:rPr>
                <w:color w:val="6C7A8D"/>
                <w:sz w:val="20"/>
                <w:szCs w:val="20"/>
              </w:rPr>
              <w:t>Customers who have been with the service for only 1–2 months churn at the highest rate. Long-tenured customers, on the other hand, are highly loyal. This points to a clear gap in the onboarding and early engage</w:t>
            </w:r>
            <w:r>
              <w:rPr>
                <w:color w:val="6C7A8D"/>
                <w:sz w:val="20"/>
                <w:szCs w:val="20"/>
              </w:rPr>
              <w:t>ment experience.</w:t>
            </w:r>
          </w:p>
        </w:tc>
      </w:tr>
    </w:tbl>
    <w:p w14:paraId="66DBEBE4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3B339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F574FA" w14:textId="77777777" w:rsidR="00296217" w:rsidRDefault="00AA5ADB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>✓</w:t>
            </w:r>
            <w:r>
              <w:rPr>
                <w:b/>
                <w:bCs/>
                <w:color w:val="2E75B6"/>
              </w:rPr>
              <w:t xml:space="preserve">  </w:t>
            </w:r>
            <w:r>
              <w:rPr>
                <w:b/>
                <w:bCs/>
              </w:rPr>
              <w:t>Long</w:t>
            </w:r>
            <w:proofErr w:type="gramEnd"/>
            <w:r>
              <w:rPr>
                <w:b/>
                <w:bCs/>
              </w:rPr>
              <w:t xml:space="preserve">-term contracts dramatically retain customers  </w:t>
            </w:r>
            <w:r>
              <w:rPr>
                <w:b/>
                <w:bCs/>
                <w:color w:val="117A65"/>
                <w:sz w:val="18"/>
                <w:szCs w:val="18"/>
                <w:highlight w:val="yellow"/>
              </w:rPr>
              <w:t xml:space="preserve">  POSITIVE  </w:t>
            </w:r>
          </w:p>
          <w:p w14:paraId="6C956AEB" w14:textId="77777777" w:rsidR="00296217" w:rsidRDefault="00AA5ADB">
            <w:r>
              <w:rPr>
                <w:color w:val="6C7A8D"/>
                <w:sz w:val="20"/>
                <w:szCs w:val="20"/>
              </w:rPr>
              <w:t>Customers on 1- or 2-year contracts are significantly less likely to churn compared to month-to-month subscribers. The contractual commitment creates stickiness and long-</w:t>
            </w:r>
            <w:r>
              <w:rPr>
                <w:color w:val="6C7A8D"/>
                <w:sz w:val="20"/>
                <w:szCs w:val="20"/>
              </w:rPr>
              <w:t>term value for both the customer and the business.</w:t>
            </w:r>
          </w:p>
        </w:tc>
      </w:tr>
    </w:tbl>
    <w:p w14:paraId="45A324C7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15551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6D08B" w14:textId="77777777" w:rsidR="00296217" w:rsidRDefault="00AA5ADB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lastRenderedPageBreak/>
              <w:t>☁</w:t>
            </w:r>
            <w:r>
              <w:rPr>
                <w:b/>
                <w:bCs/>
                <w:color w:val="2E75B6"/>
              </w:rPr>
              <w:t xml:space="preserve">  </w:t>
            </w:r>
            <w:r>
              <w:rPr>
                <w:b/>
                <w:bCs/>
              </w:rPr>
              <w:t>Missing</w:t>
            </w:r>
            <w:proofErr w:type="gramEnd"/>
            <w:r>
              <w:rPr>
                <w:b/>
                <w:bCs/>
              </w:rPr>
              <w:t xml:space="preserve"> add-on services are a churn driver  </w:t>
            </w:r>
          </w:p>
          <w:p w14:paraId="4C3B2DB3" w14:textId="77777777" w:rsidR="00296217" w:rsidRDefault="00AA5ADB">
            <w:r>
              <w:rPr>
                <w:color w:val="6C7A8D"/>
                <w:sz w:val="20"/>
                <w:szCs w:val="20"/>
              </w:rPr>
              <w:t xml:space="preserve">Customers without </w:t>
            </w:r>
            <w:proofErr w:type="spellStart"/>
            <w:r>
              <w:rPr>
                <w:color w:val="6C7A8D"/>
                <w:sz w:val="20"/>
                <w:szCs w:val="20"/>
              </w:rPr>
              <w:t>OnlineSecurity</w:t>
            </w:r>
            <w:proofErr w:type="spellEnd"/>
            <w:r>
              <w:rPr>
                <w:color w:val="6C7A8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C7A8D"/>
                <w:sz w:val="20"/>
                <w:szCs w:val="20"/>
              </w:rPr>
              <w:t>TechSupport</w:t>
            </w:r>
            <w:proofErr w:type="spellEnd"/>
            <w:r>
              <w:rPr>
                <w:color w:val="6C7A8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C7A8D"/>
                <w:sz w:val="20"/>
                <w:szCs w:val="20"/>
              </w:rPr>
              <w:t>OnlineBackup</w:t>
            </w:r>
            <w:proofErr w:type="spellEnd"/>
            <w:r>
              <w:rPr>
                <w:color w:val="6C7A8D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6C7A8D"/>
                <w:sz w:val="20"/>
                <w:szCs w:val="20"/>
              </w:rPr>
              <w:t>DeviceProtection</w:t>
            </w:r>
            <w:proofErr w:type="spellEnd"/>
            <w:r>
              <w:rPr>
                <w:color w:val="6C7A8D"/>
                <w:sz w:val="20"/>
                <w:szCs w:val="20"/>
              </w:rPr>
              <w:t xml:space="preserve"> show noticeably higher churn. Customers who engage with more services fee</w:t>
            </w:r>
            <w:r>
              <w:rPr>
                <w:color w:val="6C7A8D"/>
                <w:sz w:val="20"/>
                <w:szCs w:val="20"/>
              </w:rPr>
              <w:t>l greater perceived value and are more likely to stay.</w:t>
            </w:r>
          </w:p>
        </w:tc>
      </w:tr>
    </w:tbl>
    <w:p w14:paraId="7C7828AB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6217" w14:paraId="5DC78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BD1644" w14:textId="77777777" w:rsidR="00296217" w:rsidRDefault="00AA5ADB">
            <w:pPr>
              <w:spacing w:after="60"/>
            </w:pPr>
            <w:proofErr w:type="gramStart"/>
            <w:r>
              <w:rPr>
                <w:b/>
                <w:bCs/>
                <w:color w:val="2E75B6"/>
              </w:rPr>
              <w:t xml:space="preserve">$  </w:t>
            </w:r>
            <w:r>
              <w:rPr>
                <w:b/>
                <w:bCs/>
              </w:rPr>
              <w:t>Electronic</w:t>
            </w:r>
            <w:proofErr w:type="gramEnd"/>
            <w:r>
              <w:rPr>
                <w:b/>
                <w:bCs/>
              </w:rPr>
              <w:t xml:space="preserve"> check payment is a strong churn signal  </w:t>
            </w:r>
            <w:r>
              <w:rPr>
                <w:b/>
                <w:bCs/>
                <w:color w:val="C0392B"/>
                <w:sz w:val="18"/>
                <w:szCs w:val="18"/>
                <w:highlight w:val="yellow"/>
              </w:rPr>
              <w:t xml:space="preserve">  HIGH RISK  </w:t>
            </w:r>
          </w:p>
          <w:p w14:paraId="790C0923" w14:textId="77777777" w:rsidR="00296217" w:rsidRDefault="00AA5ADB">
            <w:r>
              <w:rPr>
                <w:color w:val="6C7A8D"/>
                <w:sz w:val="20"/>
                <w:szCs w:val="20"/>
              </w:rPr>
              <w:t>Customers paying by electronic check churn at the highest rate among all payment methods. This may reflect lower product commitment, a less digitally-engaged segment, or friction in the billing process itself.</w:t>
            </w:r>
          </w:p>
        </w:tc>
      </w:tr>
    </w:tbl>
    <w:p w14:paraId="4B7E3049" w14:textId="77777777" w:rsidR="00296217" w:rsidRDefault="00296217">
      <w:pPr>
        <w:spacing w:before="200"/>
      </w:pPr>
    </w:p>
    <w:p w14:paraId="430F3FAE" w14:textId="77777777" w:rsidR="00296217" w:rsidRDefault="00AA5ADB">
      <w:pPr>
        <w:spacing w:before="320" w:after="80"/>
      </w:pPr>
      <w:proofErr w:type="gramStart"/>
      <w:r>
        <w:rPr>
          <w:b/>
          <w:bCs/>
          <w:color w:val="2E75B6"/>
          <w:sz w:val="28"/>
          <w:szCs w:val="28"/>
        </w:rPr>
        <w:t xml:space="preserve">03  </w:t>
      </w:r>
      <w:r>
        <w:rPr>
          <w:b/>
          <w:bCs/>
          <w:sz w:val="28"/>
          <w:szCs w:val="28"/>
        </w:rPr>
        <w:t>CHURN</w:t>
      </w:r>
      <w:proofErr w:type="gramEnd"/>
      <w:r>
        <w:rPr>
          <w:b/>
          <w:bCs/>
          <w:sz w:val="28"/>
          <w:szCs w:val="28"/>
        </w:rPr>
        <w:t xml:space="preserve"> RISK BY CONTRACT TYPE</w:t>
      </w:r>
    </w:p>
    <w:p w14:paraId="3B0AC3EA" w14:textId="77777777" w:rsidR="00296217" w:rsidRDefault="00296217">
      <w:pPr>
        <w:pBdr>
          <w:bottom w:val="single" w:sz="12" w:space="1" w:color="2E75B6"/>
        </w:pBdr>
        <w:spacing w:after="160"/>
      </w:pPr>
    </w:p>
    <w:p w14:paraId="270AA959" w14:textId="77777777" w:rsidR="00296217" w:rsidRDefault="00AA5ADB">
      <w:pPr>
        <w:spacing w:after="120"/>
      </w:pPr>
      <w:r>
        <w:rPr>
          <w:color w:val="6C7A8D"/>
        </w:rPr>
        <w:t>The chart b</w:t>
      </w:r>
      <w:r>
        <w:rPr>
          <w:color w:val="6C7A8D"/>
        </w:rPr>
        <w:t>elow illustrates the relative churn risk across contract types. Month-to-month subscribers represent the highest-risk group by a substantial margin.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360"/>
        <w:gridCol w:w="1600"/>
      </w:tblGrid>
      <w:tr w:rsidR="00296217" w14:paraId="5C47C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5F0F7DCB" w14:textId="77777777" w:rsidR="00296217" w:rsidRDefault="00AA5ADB">
            <w:pPr>
              <w:jc w:val="right"/>
            </w:pPr>
            <w:r>
              <w:rPr>
                <w:sz w:val="20"/>
                <w:szCs w:val="20"/>
              </w:rPr>
              <w:t>Month-to-month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B301" w14:textId="77777777" w:rsidR="00296217" w:rsidRDefault="00AA5ADB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████████████████████</w:t>
            </w:r>
            <w:r>
              <w:rPr>
                <w:rFonts w:ascii="Courier New" w:eastAsia="Courier New" w:hAnsi="Courier New" w:cs="Courier New"/>
                <w:color w:val="E8ECF0"/>
                <w:sz w:val="20"/>
                <w:szCs w:val="20"/>
              </w:rPr>
              <w:t>░░░░░░░░░░░░░░░░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3C351A89" w14:textId="77777777" w:rsidR="00296217" w:rsidRDefault="00AA5ADB">
            <w:r>
              <w:rPr>
                <w:b/>
                <w:bCs/>
                <w:color w:val="C0392B"/>
                <w:sz w:val="20"/>
                <w:szCs w:val="20"/>
              </w:rPr>
              <w:t>Very High</w:t>
            </w:r>
          </w:p>
        </w:tc>
      </w:tr>
    </w:tbl>
    <w:p w14:paraId="488E305D" w14:textId="77777777" w:rsidR="00296217" w:rsidRDefault="0029621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360"/>
        <w:gridCol w:w="1600"/>
      </w:tblGrid>
      <w:tr w:rsidR="00296217" w14:paraId="242EE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11E23DD3" w14:textId="77777777" w:rsidR="00296217" w:rsidRDefault="00AA5ADB">
            <w:pPr>
              <w:jc w:val="right"/>
            </w:pPr>
            <w:r>
              <w:rPr>
                <w:sz w:val="20"/>
                <w:szCs w:val="20"/>
              </w:rPr>
              <w:t>One year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A798E" w14:textId="77777777" w:rsidR="00296217" w:rsidRDefault="00AA5ADB">
            <w:r>
              <w:rPr>
                <w:rFonts w:ascii="Courier New" w:eastAsia="Courier New" w:hAnsi="Courier New" w:cs="Courier New"/>
                <w:color w:val="D4820A"/>
                <w:sz w:val="20"/>
                <w:szCs w:val="20"/>
              </w:rPr>
              <w:t>███████████</w:t>
            </w:r>
            <w:r>
              <w:rPr>
                <w:rFonts w:ascii="Courier New" w:eastAsia="Courier New" w:hAnsi="Courier New" w:cs="Courier New"/>
                <w:color w:val="E8ECF0"/>
                <w:sz w:val="20"/>
                <w:szCs w:val="20"/>
              </w:rPr>
              <w:t>░░░░░░░░░░░░░░░░░░░░░░░░░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22C61561" w14:textId="77777777" w:rsidR="00296217" w:rsidRDefault="00AA5ADB">
            <w:r>
              <w:rPr>
                <w:b/>
                <w:bCs/>
                <w:color w:val="D4820A"/>
                <w:sz w:val="20"/>
                <w:szCs w:val="20"/>
              </w:rPr>
              <w:t>Moderate</w:t>
            </w:r>
          </w:p>
        </w:tc>
      </w:tr>
    </w:tbl>
    <w:p w14:paraId="3663D6FD" w14:textId="77777777" w:rsidR="00296217" w:rsidRDefault="0029621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360"/>
        <w:gridCol w:w="1600"/>
      </w:tblGrid>
      <w:tr w:rsidR="00296217" w14:paraId="4AE24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2F3B70E4" w14:textId="77777777" w:rsidR="00296217" w:rsidRDefault="00AA5ADB">
            <w:pPr>
              <w:jc w:val="right"/>
            </w:pPr>
            <w:r>
              <w:rPr>
                <w:sz w:val="20"/>
                <w:szCs w:val="20"/>
              </w:rPr>
              <w:t xml:space="preserve">Two </w:t>
            </w:r>
            <w:proofErr w:type="gramStart"/>
            <w:r>
              <w:rPr>
                <w:sz w:val="20"/>
                <w:szCs w:val="20"/>
              </w:rPr>
              <w:t>year</w:t>
            </w:r>
            <w:proofErr w:type="gramEnd"/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B186" w14:textId="77777777" w:rsidR="00296217" w:rsidRDefault="00AA5ADB">
            <w:r>
              <w:rPr>
                <w:rFonts w:ascii="Courier New" w:eastAsia="Courier New" w:hAnsi="Courier New" w:cs="Courier New"/>
                <w:color w:val="117A65"/>
                <w:sz w:val="20"/>
                <w:szCs w:val="20"/>
              </w:rPr>
              <w:t>███</w:t>
            </w:r>
            <w:r>
              <w:rPr>
                <w:rFonts w:ascii="Courier New" w:eastAsia="Courier New" w:hAnsi="Courier New" w:cs="Courier New"/>
                <w:color w:val="E8ECF0"/>
                <w:sz w:val="20"/>
                <w:szCs w:val="20"/>
              </w:rPr>
              <w:t>░░░░░░░░░░░░░░░░░░░░░░░░░░░░░░░░░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7CB51B39" w14:textId="77777777" w:rsidR="00296217" w:rsidRDefault="00AA5ADB">
            <w:r>
              <w:rPr>
                <w:b/>
                <w:bCs/>
                <w:color w:val="117A65"/>
                <w:sz w:val="20"/>
                <w:szCs w:val="20"/>
              </w:rPr>
              <w:t>Low</w:t>
            </w:r>
          </w:p>
        </w:tc>
      </w:tr>
    </w:tbl>
    <w:p w14:paraId="65C0327F" w14:textId="77777777" w:rsidR="00296217" w:rsidRDefault="0029621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"/>
        <w:gridCol w:w="8389"/>
      </w:tblGrid>
      <w:tr w:rsidR="00296217" w14:paraId="416166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195E25AE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2E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BD83B22" w14:textId="77777777" w:rsidR="00296217" w:rsidRDefault="00AA5ADB">
            <w:r>
              <w:rPr>
                <w:sz w:val="20"/>
                <w:szCs w:val="20"/>
              </w:rPr>
              <w:t>Customers on 2-year contracts are approximately 7x less likely to churn than month-to-month customers — converting even a small percentage of flexible subscribers would dramatically move the needle.</w:t>
            </w:r>
          </w:p>
        </w:tc>
      </w:tr>
    </w:tbl>
    <w:p w14:paraId="50AC3D08" w14:textId="77777777" w:rsidR="00296217" w:rsidRDefault="00296217">
      <w:pPr>
        <w:spacing w:before="200"/>
      </w:pPr>
    </w:p>
    <w:p w14:paraId="7AAE3B5D" w14:textId="77777777" w:rsidR="00296217" w:rsidRDefault="00AA5ADB">
      <w:pPr>
        <w:spacing w:before="320" w:after="80"/>
      </w:pPr>
      <w:proofErr w:type="gramStart"/>
      <w:r>
        <w:rPr>
          <w:b/>
          <w:bCs/>
          <w:color w:val="2E75B6"/>
          <w:sz w:val="28"/>
          <w:szCs w:val="28"/>
        </w:rPr>
        <w:t xml:space="preserve">04  </w:t>
      </w:r>
      <w:r>
        <w:rPr>
          <w:b/>
          <w:bCs/>
          <w:sz w:val="28"/>
          <w:szCs w:val="28"/>
        </w:rPr>
        <w:t>SERVICE</w:t>
      </w:r>
      <w:proofErr w:type="gramEnd"/>
      <w:r>
        <w:rPr>
          <w:b/>
          <w:bCs/>
          <w:sz w:val="28"/>
          <w:szCs w:val="28"/>
        </w:rPr>
        <w:t xml:space="preserve"> ADOPTION &amp; CHURN</w:t>
      </w:r>
    </w:p>
    <w:p w14:paraId="0928485D" w14:textId="77777777" w:rsidR="00296217" w:rsidRDefault="00296217">
      <w:pPr>
        <w:pBdr>
          <w:bottom w:val="single" w:sz="12" w:space="1" w:color="2E75B6"/>
        </w:pBdr>
        <w:spacing w:after="160"/>
      </w:pPr>
    </w:p>
    <w:p w14:paraId="696CC8B6" w14:textId="77777777" w:rsidR="00296217" w:rsidRDefault="00AA5ADB">
      <w:pPr>
        <w:spacing w:after="120"/>
      </w:pPr>
      <w:r>
        <w:rPr>
          <w:color w:val="6C7A8D"/>
        </w:rPr>
        <w:t>Analysis across nine service dimensions reveals a consistent pattern: customers who lack security, support, and backup services churn at markedly higher 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96217" w14:paraId="77018F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D5CDF6A" w14:textId="5DE0B191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Online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Security</w:t>
            </w:r>
          </w:p>
          <w:p w14:paraId="3EF38B32" w14:textId="77777777" w:rsidR="00296217" w:rsidRDefault="00AA5ADB">
            <w:r>
              <w:rPr>
                <w:color w:val="6C7A8D"/>
                <w:sz w:val="18"/>
                <w:szCs w:val="18"/>
              </w:rPr>
              <w:t>Customers without this service churn noticeably more — perceived vulnerability.</w:t>
            </w:r>
          </w:p>
        </w:tc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02FE504" w14:textId="43FEE5BD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  <w:r>
              <w:rPr>
                <w:b/>
                <w:bCs/>
                <w:color w:val="2E75B6"/>
                <w:sz w:val="20"/>
                <w:szCs w:val="20"/>
              </w:rPr>
              <w:t>ech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Support</w:t>
            </w:r>
          </w:p>
          <w:p w14:paraId="68719AD9" w14:textId="77777777" w:rsidR="00296217" w:rsidRDefault="00AA5ADB">
            <w:r>
              <w:rPr>
                <w:color w:val="6C7A8D"/>
                <w:sz w:val="18"/>
                <w:szCs w:val="18"/>
              </w:rPr>
              <w:t>No support access leads to frustration and abandonment.</w:t>
            </w:r>
          </w:p>
        </w:tc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5F7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94E7336" w14:textId="24C06C30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Online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Backup</w:t>
            </w:r>
          </w:p>
          <w:p w14:paraId="01A6CC8B" w14:textId="77777777" w:rsidR="00296217" w:rsidRDefault="00AA5ADB">
            <w:r>
              <w:rPr>
                <w:color w:val="6C7A8D"/>
                <w:sz w:val="18"/>
                <w:szCs w:val="18"/>
              </w:rPr>
              <w:t>Missing backup services correlate with higher churn rates.</w:t>
            </w:r>
          </w:p>
        </w:tc>
      </w:tr>
      <w:tr w:rsidR="00296217" w14:paraId="465F92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EB9C70" w14:textId="1008FDD7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Device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Protection</w:t>
            </w:r>
          </w:p>
          <w:p w14:paraId="16DD3FD8" w14:textId="77777777" w:rsidR="00296217" w:rsidRDefault="00AA5ADB">
            <w:r>
              <w:rPr>
                <w:color w:val="6C7A8D"/>
                <w:sz w:val="18"/>
                <w:szCs w:val="18"/>
              </w:rPr>
              <w:t>Customers without device cover feel undervalued.</w:t>
            </w:r>
          </w:p>
        </w:tc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0E6FC10" w14:textId="664E88F1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Streaming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TV</w:t>
            </w:r>
          </w:p>
          <w:p w14:paraId="7860CD4C" w14:textId="77777777" w:rsidR="00296217" w:rsidRDefault="00AA5ADB">
            <w:r>
              <w:rPr>
                <w:color w:val="6C7A8D"/>
                <w:sz w:val="18"/>
                <w:szCs w:val="18"/>
              </w:rPr>
              <w:t>Non-subscribers show slightly elevated churn.</w:t>
            </w:r>
          </w:p>
        </w:tc>
        <w:tc>
          <w:tcPr>
            <w:tcW w:w="3120" w:type="dxa"/>
            <w:tcBorders>
              <w:top w:val="single" w:sz="4" w:space="0" w:color="E8ECF0"/>
              <w:left w:val="single" w:sz="4" w:space="0" w:color="E8ECF0"/>
              <w:bottom w:val="single" w:sz="4" w:space="0" w:color="E8ECF0"/>
              <w:right w:val="single" w:sz="4" w:space="0" w:color="E8ECF0"/>
            </w:tcBorders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4B0D47F" w14:textId="05032FD4" w:rsidR="00296217" w:rsidRDefault="00AA5AD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Internet</w:t>
            </w:r>
            <w:r w:rsidR="00FA2459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75B6"/>
                <w:sz w:val="20"/>
                <w:szCs w:val="20"/>
              </w:rPr>
              <w:t>Service (DSL)</w:t>
            </w:r>
          </w:p>
          <w:p w14:paraId="7ED4D796" w14:textId="77777777" w:rsidR="00296217" w:rsidRDefault="00AA5ADB">
            <w:r>
              <w:rPr>
                <w:color w:val="6C7A8D"/>
                <w:sz w:val="18"/>
                <w:szCs w:val="18"/>
              </w:rPr>
              <w:t xml:space="preserve">DSL users churn less than </w:t>
            </w:r>
            <w:proofErr w:type="spellStart"/>
            <w:r>
              <w:rPr>
                <w:color w:val="6C7A8D"/>
                <w:sz w:val="18"/>
                <w:szCs w:val="18"/>
              </w:rPr>
              <w:t>Fiber</w:t>
            </w:r>
            <w:proofErr w:type="spellEnd"/>
            <w:r>
              <w:rPr>
                <w:color w:val="6C7A8D"/>
                <w:sz w:val="18"/>
                <w:szCs w:val="18"/>
              </w:rPr>
              <w:t xml:space="preserve"> Optic subscribers.</w:t>
            </w:r>
          </w:p>
        </w:tc>
      </w:tr>
    </w:tbl>
    <w:p w14:paraId="5B7D454E" w14:textId="77777777" w:rsidR="00296217" w:rsidRDefault="00296217">
      <w:pPr>
        <w:spacing w:before="200"/>
      </w:pPr>
    </w:p>
    <w:p w14:paraId="6FD8A24A" w14:textId="77777777" w:rsidR="00296217" w:rsidRDefault="00AA5ADB">
      <w:pPr>
        <w:spacing w:before="320" w:after="80"/>
      </w:pPr>
      <w:proofErr w:type="gramStart"/>
      <w:r>
        <w:rPr>
          <w:b/>
          <w:bCs/>
          <w:color w:val="2E75B6"/>
          <w:sz w:val="28"/>
          <w:szCs w:val="28"/>
        </w:rPr>
        <w:t xml:space="preserve">05  </w:t>
      </w:r>
      <w:r>
        <w:rPr>
          <w:b/>
          <w:bCs/>
          <w:sz w:val="28"/>
          <w:szCs w:val="28"/>
        </w:rPr>
        <w:t>RECOMMENDATIONS</w:t>
      </w:r>
      <w:proofErr w:type="gramEnd"/>
    </w:p>
    <w:p w14:paraId="64D6F2BB" w14:textId="77777777" w:rsidR="00296217" w:rsidRDefault="00296217">
      <w:pPr>
        <w:pBdr>
          <w:bottom w:val="single" w:sz="12" w:space="1" w:color="2E75B6"/>
        </w:pBdr>
        <w:spacing w:after="160"/>
      </w:pPr>
    </w:p>
    <w:p w14:paraId="252AE7E5" w14:textId="77777777" w:rsidR="00296217" w:rsidRDefault="00AA5ADB">
      <w:pPr>
        <w:spacing w:after="160"/>
      </w:pPr>
      <w:r>
        <w:rPr>
          <w:color w:val="6C7A8D"/>
        </w:rPr>
        <w:t>Based on the analysis, the following five strategies are recommended to reduce churn and improve long-term customer retention: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96217" w14:paraId="43C6C5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7A0F0E9C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760" w:type="dxa"/>
            <w:tcBorders>
              <w:left w:val="single" w:sz="6" w:space="0" w:color="2E75B6"/>
            </w:tcBorders>
            <w:shd w:val="clear" w:color="auto" w:fill="D6E4F3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EB06F62" w14:textId="77777777" w:rsidR="00296217" w:rsidRDefault="00AA5ADB">
            <w:pPr>
              <w:spacing w:after="60"/>
            </w:pPr>
            <w:r>
              <w:rPr>
                <w:b/>
                <w:bCs/>
              </w:rPr>
              <w:t>Structured Onboarding for New Customers (Months 1–3)</w:t>
            </w:r>
          </w:p>
          <w:p w14:paraId="41ADCE0E" w14:textId="1795949B" w:rsidR="00296217" w:rsidRDefault="00AA5ADB">
            <w:r>
              <w:rPr>
                <w:color w:val="6C7A8D"/>
                <w:sz w:val="20"/>
                <w:szCs w:val="20"/>
              </w:rPr>
              <w:t>Since churn peaks in the first 1–2 months, launch a guided onboarding pro</w:t>
            </w:r>
            <w:r>
              <w:rPr>
                <w:color w:val="6C7A8D"/>
                <w:sz w:val="20"/>
                <w:szCs w:val="20"/>
              </w:rPr>
              <w:t>gram</w:t>
            </w:r>
            <w:r w:rsidR="00DD3C30">
              <w:rPr>
                <w:color w:val="6C7A8D"/>
                <w:sz w:val="20"/>
                <w:szCs w:val="20"/>
              </w:rPr>
              <w:t xml:space="preserve">, </w:t>
            </w:r>
            <w:r>
              <w:rPr>
                <w:color w:val="6C7A8D"/>
                <w:sz w:val="20"/>
                <w:szCs w:val="20"/>
              </w:rPr>
              <w:t>welcome calls, setup assistance, and a loyalty reward at the 3-month milestone</w:t>
            </w:r>
            <w:r w:rsidR="00DD3C30">
              <w:rPr>
                <w:color w:val="6C7A8D"/>
                <w:sz w:val="20"/>
                <w:szCs w:val="20"/>
              </w:rPr>
              <w:t>,</w:t>
            </w:r>
            <w:r>
              <w:rPr>
                <w:color w:val="6C7A8D"/>
                <w:sz w:val="20"/>
                <w:szCs w:val="20"/>
              </w:rPr>
              <w:t xml:space="preserve"> to anchor early users before they consider leaving.</w:t>
            </w:r>
          </w:p>
        </w:tc>
      </w:tr>
    </w:tbl>
    <w:p w14:paraId="3B95A397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96217" w14:paraId="1C1121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76B1AADF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760" w:type="dxa"/>
            <w:tcBorders>
              <w:left w:val="single" w:sz="6" w:space="0" w:color="117A65"/>
            </w:tcBorders>
            <w:shd w:val="clear" w:color="auto" w:fill="D1F2E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8F5371B" w14:textId="77777777" w:rsidR="00296217" w:rsidRDefault="00AA5ADB">
            <w:pPr>
              <w:spacing w:after="60"/>
            </w:pPr>
            <w:r>
              <w:rPr>
                <w:b/>
                <w:bCs/>
              </w:rPr>
              <w:t>Incentivize Upgrades from Month-to-Month to Annual Plans</w:t>
            </w:r>
          </w:p>
          <w:p w14:paraId="124FD7A9" w14:textId="63BAD8C2" w:rsidR="00296217" w:rsidRDefault="00AA5ADB">
            <w:r>
              <w:rPr>
                <w:color w:val="6C7A8D"/>
                <w:sz w:val="20"/>
                <w:szCs w:val="20"/>
              </w:rPr>
              <w:t>Offer meaningful discounts (</w:t>
            </w:r>
            <w:r w:rsidR="00DD3C30">
              <w:rPr>
                <w:color w:val="6C7A8D"/>
                <w:sz w:val="20"/>
                <w:szCs w:val="20"/>
              </w:rPr>
              <w:t>e.g.,</w:t>
            </w:r>
            <w:r>
              <w:rPr>
                <w:color w:val="6C7A8D"/>
                <w:sz w:val="20"/>
                <w:szCs w:val="20"/>
              </w:rPr>
              <w:t xml:space="preserve"> 1–2 months free) to encourage contract upgrades. Annual subscribers churn far less</w:t>
            </w:r>
            <w:r w:rsidR="00DD3C30">
              <w:rPr>
                <w:color w:val="6C7A8D"/>
                <w:sz w:val="20"/>
                <w:szCs w:val="20"/>
              </w:rPr>
              <w:t>:</w:t>
            </w:r>
            <w:r>
              <w:rPr>
                <w:color w:val="6C7A8D"/>
                <w:sz w:val="20"/>
                <w:szCs w:val="20"/>
              </w:rPr>
              <w:t xml:space="preserve"> </w:t>
            </w:r>
            <w:r>
              <w:rPr>
                <w:color w:val="6C7A8D"/>
                <w:sz w:val="20"/>
                <w:szCs w:val="20"/>
              </w:rPr>
              <w:t xml:space="preserve"> converting even 15–20% of month-to-month customers would significantly reduce the</w:t>
            </w:r>
            <w:r>
              <w:rPr>
                <w:color w:val="6C7A8D"/>
                <w:sz w:val="20"/>
                <w:szCs w:val="20"/>
              </w:rPr>
              <w:t xml:space="preserve"> overall churn rate.</w:t>
            </w:r>
          </w:p>
        </w:tc>
      </w:tr>
    </w:tbl>
    <w:p w14:paraId="583EDA54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96217" w14:paraId="28ADA5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7E4AB682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760" w:type="dxa"/>
            <w:tcBorders>
              <w:left w:val="single" w:sz="6" w:space="0" w:color="6C3483"/>
            </w:tcBorders>
            <w:shd w:val="clear" w:color="auto" w:fill="E8DAE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3488BF2" w14:textId="77777777" w:rsidR="00296217" w:rsidRDefault="00AA5ADB">
            <w:pPr>
              <w:spacing w:after="60"/>
            </w:pPr>
            <w:r>
              <w:rPr>
                <w:b/>
                <w:bCs/>
              </w:rPr>
              <w:t>Create a Senior Citizen Support Program</w:t>
            </w:r>
          </w:p>
          <w:p w14:paraId="612D79FC" w14:textId="77777777" w:rsidR="00296217" w:rsidRDefault="00AA5ADB">
            <w:r>
              <w:rPr>
                <w:color w:val="6C7A8D"/>
                <w:sz w:val="20"/>
                <w:szCs w:val="20"/>
              </w:rPr>
              <w:t>Assign dedicated support agents for senior customers, offer simplified onboarding materials, and consider a tailored plan with assisted setup. Proactive check-ins and human touchpoints can significantly reduce churn in this demographic.</w:t>
            </w:r>
          </w:p>
        </w:tc>
      </w:tr>
    </w:tbl>
    <w:p w14:paraId="28BE3025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96217" w14:paraId="5F4CDF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820A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2349B54A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760" w:type="dxa"/>
            <w:tcBorders>
              <w:left w:val="single" w:sz="6" w:space="0" w:color="D4820A"/>
            </w:tcBorders>
            <w:shd w:val="clear" w:color="auto" w:fill="FEF3CD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DBC940C" w14:textId="77777777" w:rsidR="00296217" w:rsidRDefault="00AA5ADB">
            <w:pPr>
              <w:spacing w:after="60"/>
            </w:pPr>
            <w:r>
              <w:rPr>
                <w:b/>
                <w:bCs/>
              </w:rPr>
              <w:t>Bundle Security and Support Services</w:t>
            </w:r>
          </w:p>
          <w:p w14:paraId="26888B18" w14:textId="5731908A" w:rsidR="00296217" w:rsidRDefault="00AA5ADB">
            <w:r>
              <w:rPr>
                <w:color w:val="6C7A8D"/>
                <w:sz w:val="20"/>
                <w:szCs w:val="20"/>
              </w:rPr>
              <w:t>Offer Online</w:t>
            </w:r>
            <w:r w:rsidR="00DD3C30">
              <w:rPr>
                <w:color w:val="6C7A8D"/>
                <w:sz w:val="20"/>
                <w:szCs w:val="20"/>
              </w:rPr>
              <w:t xml:space="preserve"> </w:t>
            </w:r>
            <w:r>
              <w:rPr>
                <w:color w:val="6C7A8D"/>
                <w:sz w:val="20"/>
                <w:szCs w:val="20"/>
              </w:rPr>
              <w:t>Security, Tech</w:t>
            </w:r>
            <w:r w:rsidR="00DD3C30">
              <w:rPr>
                <w:color w:val="6C7A8D"/>
                <w:sz w:val="20"/>
                <w:szCs w:val="20"/>
              </w:rPr>
              <w:t xml:space="preserve"> </w:t>
            </w:r>
            <w:r>
              <w:rPr>
                <w:color w:val="6C7A8D"/>
                <w:sz w:val="20"/>
                <w:szCs w:val="20"/>
              </w:rPr>
              <w:t>Support, Online</w:t>
            </w:r>
            <w:r w:rsidR="00DD3C30">
              <w:rPr>
                <w:color w:val="6C7A8D"/>
                <w:sz w:val="20"/>
                <w:szCs w:val="20"/>
              </w:rPr>
              <w:t xml:space="preserve"> </w:t>
            </w:r>
            <w:r>
              <w:rPr>
                <w:color w:val="6C7A8D"/>
                <w:sz w:val="20"/>
                <w:szCs w:val="20"/>
              </w:rPr>
              <w:t>Backup, and Device</w:t>
            </w:r>
            <w:r w:rsidR="00DD3C30">
              <w:rPr>
                <w:color w:val="6C7A8D"/>
                <w:sz w:val="20"/>
                <w:szCs w:val="20"/>
              </w:rPr>
              <w:t xml:space="preserve"> </w:t>
            </w:r>
            <w:r>
              <w:rPr>
                <w:color w:val="6C7A8D"/>
                <w:sz w:val="20"/>
                <w:szCs w:val="20"/>
              </w:rPr>
              <w:t>Protection as a discounted bundle or include them in base plans. Customers with more engaged service portfolios stay longer and generate more lifetime value.</w:t>
            </w:r>
          </w:p>
        </w:tc>
      </w:tr>
    </w:tbl>
    <w:p w14:paraId="23242BEC" w14:textId="77777777" w:rsidR="00296217" w:rsidRDefault="002962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96217" w14:paraId="26835B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3DB5AF9C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760" w:type="dxa"/>
            <w:tcBorders>
              <w:left w:val="single" w:sz="6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E1EDA52" w14:textId="77777777" w:rsidR="00296217" w:rsidRDefault="00AA5ADB">
            <w:pPr>
              <w:spacing w:after="60"/>
            </w:pPr>
            <w:r>
              <w:rPr>
                <w:b/>
                <w:bCs/>
              </w:rPr>
              <w:t>Migrate Electronic Check Users to Auto-Pay</w:t>
            </w:r>
          </w:p>
          <w:p w14:paraId="00AA7627" w14:textId="77777777" w:rsidR="00296217" w:rsidRDefault="00AA5ADB">
            <w:r>
              <w:rPr>
                <w:color w:val="6C7A8D"/>
                <w:sz w:val="20"/>
                <w:szCs w:val="20"/>
              </w:rPr>
              <w:t xml:space="preserve">Offer a small bill credit or discount to customers who switch from electronic check to automatic payment. Automated billing reduces friction, is linked to higher retention, and is a low-cost intervention with </w:t>
            </w:r>
            <w:r>
              <w:rPr>
                <w:color w:val="6C7A8D"/>
                <w:sz w:val="20"/>
                <w:szCs w:val="20"/>
              </w:rPr>
              <w:t>measurable impact.</w:t>
            </w:r>
          </w:p>
        </w:tc>
      </w:tr>
    </w:tbl>
    <w:p w14:paraId="184B09B5" w14:textId="77777777" w:rsidR="00296217" w:rsidRDefault="00296217">
      <w:pPr>
        <w:spacing w:before="200"/>
      </w:pPr>
    </w:p>
    <w:p w14:paraId="11C01D24" w14:textId="77777777" w:rsidR="00296217" w:rsidRDefault="00AA5ADB">
      <w:pPr>
        <w:spacing w:before="320" w:after="80"/>
      </w:pPr>
      <w:proofErr w:type="gramStart"/>
      <w:r>
        <w:rPr>
          <w:b/>
          <w:bCs/>
          <w:color w:val="2E75B6"/>
          <w:sz w:val="28"/>
          <w:szCs w:val="28"/>
        </w:rPr>
        <w:t xml:space="preserve">06  </w:t>
      </w:r>
      <w:r>
        <w:rPr>
          <w:b/>
          <w:bCs/>
          <w:sz w:val="28"/>
          <w:szCs w:val="28"/>
        </w:rPr>
        <w:t>CONCLUSION</w:t>
      </w:r>
      <w:proofErr w:type="gramEnd"/>
    </w:p>
    <w:p w14:paraId="122AA8A3" w14:textId="77777777" w:rsidR="00296217" w:rsidRDefault="00296217">
      <w:pPr>
        <w:pBdr>
          <w:bottom w:val="single" w:sz="12" w:space="1" w:color="2E75B6"/>
        </w:pBdr>
        <w:spacing w:after="160"/>
      </w:pPr>
    </w:p>
    <w:p w14:paraId="09943A0A" w14:textId="77777777" w:rsidR="00296217" w:rsidRDefault="00AA5ADB">
      <w:pPr>
        <w:spacing w:after="120"/>
      </w:pPr>
      <w:r>
        <w:t>The current churn rate of 26.5% represents a significant business risk, but the data points to clear, addressable root causes. The most impactful interventions are early-tenure engagement, contract migration incentives, and bundled service adoption.</w:t>
      </w:r>
    </w:p>
    <w:p w14:paraId="16835209" w14:textId="412B5146" w:rsidR="00296217" w:rsidRDefault="00AA5ADB">
      <w:pPr>
        <w:spacing w:after="120"/>
      </w:pPr>
      <w:r>
        <w:lastRenderedPageBreak/>
        <w:t>Gender</w:t>
      </w:r>
      <w:r>
        <w:t xml:space="preserve"> is not a useful segmentation dimension for churn prevention. Instead, focus retention resources on: new customers (months 1–3), senior citizens, month-to-month subscribers, and electronic check users</w:t>
      </w:r>
      <w:r w:rsidR="00DD3C30">
        <w:t>:</w:t>
      </w:r>
      <w:r>
        <w:t xml:space="preserve"> these four groups account for the bulk of observed ch</w:t>
      </w:r>
      <w:r>
        <w:t>urn.</w:t>
      </w:r>
    </w:p>
    <w:p w14:paraId="46EEEE89" w14:textId="77777777" w:rsidR="00296217" w:rsidRDefault="002962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8269"/>
      </w:tblGrid>
      <w:tr w:rsidR="00296217" w14:paraId="1B2DAD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5741D5FF" w14:textId="77777777" w:rsidR="00296217" w:rsidRDefault="00AA5A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 ACTION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BB8017" w14:textId="72D9B645" w:rsidR="00296217" w:rsidRDefault="00AA5ADB">
            <w:r>
              <w:rPr>
                <w:sz w:val="20"/>
                <w:szCs w:val="20"/>
              </w:rPr>
              <w:t>Begin with an onboarding improvement program</w:t>
            </w:r>
            <w:r w:rsidR="00DD3C3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it targets the highest-churn window and requires no product changes, only process investment.</w:t>
            </w:r>
          </w:p>
        </w:tc>
      </w:tr>
    </w:tbl>
    <w:p w14:paraId="42706058" w14:textId="77777777" w:rsidR="00AA5ADB" w:rsidRDefault="00AA5ADB"/>
    <w:sectPr w:rsidR="00AA5A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807B" w14:textId="77777777" w:rsidR="00AA5ADB" w:rsidRDefault="00AA5ADB">
      <w:r>
        <w:separator/>
      </w:r>
    </w:p>
  </w:endnote>
  <w:endnote w:type="continuationSeparator" w:id="0">
    <w:p w14:paraId="796E2DF6" w14:textId="77777777" w:rsidR="00AA5ADB" w:rsidRDefault="00AA5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7031E" w14:textId="295ABF0F" w:rsidR="00296217" w:rsidRDefault="00F16342">
    <w:pPr>
      <w:pBdr>
        <w:top w:val="single" w:sz="6" w:space="1" w:color="2E75B6"/>
      </w:pBdr>
      <w:spacing w:before="80"/>
    </w:pPr>
    <w:r w:rsidRPr="00DD3C30">
      <w:rPr>
        <w:b/>
        <w:bCs/>
        <w:sz w:val="18"/>
        <w:szCs w:val="18"/>
      </w:rPr>
      <w:t>Prepared by:</w:t>
    </w:r>
    <w:r>
      <w:rPr>
        <w:sz w:val="18"/>
        <w:szCs w:val="18"/>
      </w:rPr>
      <w:t xml:space="preserve"> </w:t>
    </w:r>
    <w:r w:rsidRPr="00761CC9">
      <w:rPr>
        <w:sz w:val="18"/>
        <w:szCs w:val="18"/>
      </w:rPr>
      <w:t xml:space="preserve"> Srijeeta Mondal </w:t>
    </w:r>
    <w:r>
      <w:rPr>
        <w:sz w:val="18"/>
        <w:szCs w:val="18"/>
      </w:rPr>
      <w:t>|</w:t>
    </w:r>
    <w:r w:rsidRPr="00DD3C30">
      <w:rPr>
        <w:sz w:val="18"/>
        <w:szCs w:val="18"/>
      </w:rPr>
      <w:t xml:space="preserve"> </w:t>
    </w:r>
    <w:hyperlink r:id="rId1" w:history="1">
      <w:r w:rsidRPr="00DD3C30">
        <w:rPr>
          <w:rStyle w:val="Hyperlink"/>
          <w:sz w:val="18"/>
          <w:szCs w:val="18"/>
        </w:rPr>
        <w:t>srijeetam1210@gmail.com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9E635" w14:textId="77777777" w:rsidR="00AA5ADB" w:rsidRDefault="00AA5ADB">
      <w:r>
        <w:separator/>
      </w:r>
    </w:p>
  </w:footnote>
  <w:footnote w:type="continuationSeparator" w:id="0">
    <w:p w14:paraId="6B41664D" w14:textId="77777777" w:rsidR="00AA5ADB" w:rsidRDefault="00AA5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296217" w14:paraId="1CB58C16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single" w:sz="6" w:space="1" w:color="2E75B6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1A9D929" w14:textId="4BA8E4B5" w:rsidR="00DD3C30" w:rsidRPr="00DD3C30" w:rsidRDefault="00DD3C30"/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single" w:sz="6" w:space="1" w:color="2E75B6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2BFCCF9D" w14:textId="77777777" w:rsidR="00296217" w:rsidRPr="00DD3C30" w:rsidRDefault="00AA5ADB">
          <w:pPr>
            <w:jc w:val="right"/>
            <w:rPr>
              <w:b/>
              <w:bCs/>
            </w:rPr>
          </w:pPr>
          <w:r w:rsidRPr="00DD3C30">
            <w:rPr>
              <w:b/>
              <w:bCs/>
              <w:color w:val="6C7A8D"/>
              <w:sz w:val="18"/>
              <w:szCs w:val="18"/>
            </w:rPr>
            <w:t>May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A0E94"/>
    <w:multiLevelType w:val="hybridMultilevel"/>
    <w:tmpl w:val="10B657D0"/>
    <w:lvl w:ilvl="0" w:tplc="3F3C6C4C">
      <w:start w:val="1"/>
      <w:numFmt w:val="bullet"/>
      <w:lvlText w:val="●"/>
      <w:lvlJc w:val="left"/>
      <w:pPr>
        <w:ind w:left="720" w:hanging="360"/>
      </w:pPr>
    </w:lvl>
    <w:lvl w:ilvl="1" w:tplc="2154D792">
      <w:start w:val="1"/>
      <w:numFmt w:val="bullet"/>
      <w:lvlText w:val="○"/>
      <w:lvlJc w:val="left"/>
      <w:pPr>
        <w:ind w:left="1440" w:hanging="360"/>
      </w:pPr>
    </w:lvl>
    <w:lvl w:ilvl="2" w:tplc="AFF8422E">
      <w:start w:val="1"/>
      <w:numFmt w:val="bullet"/>
      <w:lvlText w:val="■"/>
      <w:lvlJc w:val="left"/>
      <w:pPr>
        <w:ind w:left="2160" w:hanging="360"/>
      </w:pPr>
    </w:lvl>
    <w:lvl w:ilvl="3" w:tplc="5E22A660">
      <w:start w:val="1"/>
      <w:numFmt w:val="bullet"/>
      <w:lvlText w:val="●"/>
      <w:lvlJc w:val="left"/>
      <w:pPr>
        <w:ind w:left="2880" w:hanging="360"/>
      </w:pPr>
    </w:lvl>
    <w:lvl w:ilvl="4" w:tplc="3F1A39A4">
      <w:start w:val="1"/>
      <w:numFmt w:val="bullet"/>
      <w:lvlText w:val="○"/>
      <w:lvlJc w:val="left"/>
      <w:pPr>
        <w:ind w:left="3600" w:hanging="360"/>
      </w:pPr>
    </w:lvl>
    <w:lvl w:ilvl="5" w:tplc="C61E1BFE">
      <w:start w:val="1"/>
      <w:numFmt w:val="bullet"/>
      <w:lvlText w:val="■"/>
      <w:lvlJc w:val="left"/>
      <w:pPr>
        <w:ind w:left="4320" w:hanging="360"/>
      </w:pPr>
    </w:lvl>
    <w:lvl w:ilvl="6" w:tplc="633A3440">
      <w:start w:val="1"/>
      <w:numFmt w:val="bullet"/>
      <w:lvlText w:val="●"/>
      <w:lvlJc w:val="left"/>
      <w:pPr>
        <w:ind w:left="5040" w:hanging="360"/>
      </w:pPr>
    </w:lvl>
    <w:lvl w:ilvl="7" w:tplc="D854A22E">
      <w:start w:val="1"/>
      <w:numFmt w:val="bullet"/>
      <w:lvlText w:val="●"/>
      <w:lvlJc w:val="left"/>
      <w:pPr>
        <w:ind w:left="5760" w:hanging="360"/>
      </w:pPr>
    </w:lvl>
    <w:lvl w:ilvl="8" w:tplc="261AFB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47BA5"/>
    <w:multiLevelType w:val="hybridMultilevel"/>
    <w:tmpl w:val="60AE7DB8"/>
    <w:lvl w:ilvl="0" w:tplc="7DDAAA5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5B6"/>
        <w:sz w:val="20"/>
        <w:szCs w:val="20"/>
      </w:rPr>
    </w:lvl>
    <w:lvl w:ilvl="1" w:tplc="F2E2582E">
      <w:numFmt w:val="decimal"/>
      <w:lvlText w:val=""/>
      <w:lvlJc w:val="left"/>
    </w:lvl>
    <w:lvl w:ilvl="2" w:tplc="3C3AF7B4">
      <w:numFmt w:val="decimal"/>
      <w:lvlText w:val=""/>
      <w:lvlJc w:val="left"/>
    </w:lvl>
    <w:lvl w:ilvl="3" w:tplc="62EECEC2">
      <w:numFmt w:val="decimal"/>
      <w:lvlText w:val=""/>
      <w:lvlJc w:val="left"/>
    </w:lvl>
    <w:lvl w:ilvl="4" w:tplc="9396720C">
      <w:numFmt w:val="decimal"/>
      <w:lvlText w:val=""/>
      <w:lvlJc w:val="left"/>
    </w:lvl>
    <w:lvl w:ilvl="5" w:tplc="CA2444A6">
      <w:numFmt w:val="decimal"/>
      <w:lvlText w:val=""/>
      <w:lvlJc w:val="left"/>
    </w:lvl>
    <w:lvl w:ilvl="6" w:tplc="280498E8">
      <w:numFmt w:val="decimal"/>
      <w:lvlText w:val=""/>
      <w:lvlJc w:val="left"/>
    </w:lvl>
    <w:lvl w:ilvl="7" w:tplc="639E2B64">
      <w:numFmt w:val="decimal"/>
      <w:lvlText w:val=""/>
      <w:lvlJc w:val="left"/>
    </w:lvl>
    <w:lvl w:ilvl="8" w:tplc="06CC2C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217"/>
    <w:rsid w:val="00296217"/>
    <w:rsid w:val="006861FA"/>
    <w:rsid w:val="00761CC9"/>
    <w:rsid w:val="00AA5ADB"/>
    <w:rsid w:val="00DD3C30"/>
    <w:rsid w:val="00F16342"/>
    <w:rsid w:val="00FA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B942"/>
  <w15:docId w15:val="{BA9371A8-A843-46BB-AECF-2216ECB2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B2A4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1C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CC9"/>
  </w:style>
  <w:style w:type="paragraph" w:styleId="Footer">
    <w:name w:val="footer"/>
    <w:basedOn w:val="Normal"/>
    <w:link w:val="FooterChar"/>
    <w:uiPriority w:val="99"/>
    <w:unhideWhenUsed/>
    <w:rsid w:val="00761C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CC9"/>
  </w:style>
  <w:style w:type="character" w:styleId="UnresolvedMention">
    <w:name w:val="Unresolved Mention"/>
    <w:basedOn w:val="DefaultParagraphFont"/>
    <w:uiPriority w:val="99"/>
    <w:semiHidden/>
    <w:unhideWhenUsed/>
    <w:rsid w:val="00DD3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rijeetam12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LicenseTotal</cp:lastModifiedBy>
  <cp:revision>2</cp:revision>
  <dcterms:created xsi:type="dcterms:W3CDTF">2026-05-12T01:37:00Z</dcterms:created>
  <dcterms:modified xsi:type="dcterms:W3CDTF">2026-05-12T11:14:00Z</dcterms:modified>
</cp:coreProperties>
</file>