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1F3864"/>
          <w:sz w:val="40"/>
          <w:szCs w:val="40"/>
        </w:rPr>
        <w:t xml:space="preserve">BUILDING A CENTRALIZED EXCHANGE</w:t>
      </w:r>
    </w:p>
    <w:p>
      <w:pPr>
        <w:spacing w:before="80"/>
        <w:jc w:val="center"/>
      </w:pPr>
      <w:r>
        <w:rPr>
          <w:b/>
          <w:bCs/>
          <w:color w:val="1F3864"/>
          <w:sz w:val="40"/>
          <w:szCs w:val="40"/>
        </w:rPr>
        <w:t xml:space="preserve">(CEX) IN GO</w:t>
      </w:r>
    </w:p>
    <w:p>
      <w:pPr>
        <w:spacing w:after="100" w:before="100"/>
        <w:jc w:val="center"/>
      </w:pPr>
      <w:r>
        <w:rPr>
          <w:b/>
          <w:bCs/>
          <w:color w:val="2E74B5"/>
          <w:sz w:val="30"/>
          <w:szCs w:val="30"/>
        </w:rPr>
        <w:t xml:space="preserve">A Companion Project Guide — Matching Engine, Ledger &amp; Real-Time Market Data</w:t>
      </w:r>
    </w:p>
    <w:p>
      <w:pPr>
        <w:spacing w:after="400" w:before="200"/>
        <w:jc w:val="center"/>
      </w:pPr>
      <w:r>
        <w:rPr>
          <w:i/>
          <w:iCs/>
          <w:color w:val="595959"/>
          <w:sz w:val="22"/>
          <w:szCs w:val="22"/>
        </w:rPr>
        <w:t xml:space="preserve">A standalone, deep-systems side project to build alongside the main 6-month Go roadmap — separate from Conduit, but timed to run in parallel with it, phase by phase.</w:t>
      </w:r>
    </w:p>
    <w:p>
      <w:pPr>
        <w:spacing w:before="600"/>
        <w:jc w:val="center"/>
      </w:pPr>
      <w:r>
        <w:rPr>
          <w:color w:val="595959"/>
          <w:sz w:val="20"/>
          <w:szCs w:val="20"/>
        </w:rPr>
        <w:t xml:space="preserve">Prepared for PRa  |  Companion to: Golang Backend Developer — 6-Month Roadmap (v2)</w:t>
      </w:r>
    </w:p>
    <w:p>
      <w:r>
        <w:br w:type="page"/>
      </w:r>
    </w:p>
    <w:p>
      <w:pPr>
        <w:pStyle w:val="Heading1"/>
        <w:pBdr>
          <w:bottom w:val="single" w:color="2E74B5" w:sz="8" w:space="4"/>
        </w:pBdr>
        <w:spacing w:after="160" w:before="360"/>
      </w:pPr>
      <w:r>
        <w:rPr>
          <w:b/>
          <w:bCs/>
          <w:color w:val="1F3864"/>
          <w:sz w:val="30"/>
          <w:szCs w:val="30"/>
        </w:rPr>
        <w:t xml:space="preserve">Why This Project, and Why It's Rare</w:t>
      </w:r>
    </w:p>
    <w:p>
      <w:pPr>
        <w:spacing w:after="160" w:line="276"/>
      </w:pPr>
      <w:r>
        <w:rPr>
          <w:color w:val="262626"/>
          <w:sz w:val="21"/>
          <w:szCs w:val="21"/>
        </w:rPr>
        <w:t xml:space="preserve">A matching engine is one of the hardest ordinary backend systems to build correctly. It needs to process concurrent order submissions with strict sequential consistency, guarantee zero duplicate fills, survive crashes without losing state, and respond in the low milliseconds — all while every dollar in the system has to be accounted for exactly. Real exchanges take this extremely seriously: LMAX, the trading platform behind the well-known Disruptor pattern, built a single-threaded business-logic core that processes 6 million orders per second by deliberately avoiding locks altogether and using event sourcing so state can always be rebuilt by replaying history rather than trusting a snapshot.</w:t>
      </w:r>
    </w:p>
    <w:p>
      <w:pPr>
        <w:spacing w:after="160" w:line="276"/>
      </w:pPr>
      <w:r>
        <w:rPr>
          <w:color w:val="262626"/>
          <w:sz w:val="21"/>
          <w:szCs w:val="21"/>
        </w:rPr>
        <w:t xml:space="preserve">That's exactly the kind of engineering most portfolios never touch. Most candidates can show a CRUD API; almost none can explain how they guaranteed an order isn't filled twice, or walk through a real p99 latency number they measured themselves. Building even a simplified centralized exchange gives you both — and a very different performance profile than Conduit. Conduit is about correctness under asynchronous, long-running, distributed workflows; this project is about correctness under synchronous, high-throughput, low-latency load. Having both in your portfolio tells an interviewer you understand backend engineering isn't one thing.</w:t>
      </w:r>
    </w:p>
    <w:p>
      <w:pPr>
        <w:pStyle w:val="Heading2"/>
        <w:spacing w:after="120" w:before="280"/>
      </w:pPr>
      <w:r>
        <w:rPr>
          <w:b/>
          <w:bCs/>
          <w:color w:val="2E74B5"/>
          <w:sz w:val="24"/>
          <w:szCs w:val="24"/>
        </w:rPr>
        <w:t xml:space="preserve">Ground Rules for This Project</w:t>
      </w:r>
    </w:p>
    <w:p>
      <w:pPr>
        <w:pStyle w:val="ListParagraph"/>
        <w:numPr>
          <w:ilvl w:val="0"/>
          <w:numId w:val="2"/>
        </w:numPr>
        <w:spacing w:after="80"/>
      </w:pPr>
      <w:r>
        <w:rPr>
          <w:color w:val="262626"/>
          <w:sz w:val="21"/>
          <w:szCs w:val="21"/>
        </w:rPr>
        <w:t xml:space="preserve">This is separate from Conduit — its own repository, its own README, its own story. Do not merge them, but do note in interviews that you reused Conduit's Auth Service (see Phase 4) as evidence you build reusable components.</w:t>
      </w:r>
    </w:p>
    <w:p>
      <w:pPr>
        <w:pStyle w:val="ListParagraph"/>
        <w:numPr>
          <w:ilvl w:val="0"/>
          <w:numId w:val="2"/>
        </w:numPr>
        <w:spacing w:after="80"/>
      </w:pPr>
      <w:r>
        <w:rPr>
          <w:color w:val="262626"/>
          <w:sz w:val="21"/>
          <w:szCs w:val="21"/>
        </w:rPr>
        <w:t xml:space="preserve">It's a companion, not a replacement — run it alongside the main roadmap, not instead of it. See the time-budget section near the end for how the hours fit together.</w:t>
      </w:r>
    </w:p>
    <w:p>
      <w:pPr>
        <w:pStyle w:val="ListParagraph"/>
        <w:numPr>
          <w:ilvl w:val="0"/>
          <w:numId w:val="2"/>
        </w:numPr>
        <w:spacing w:after="80"/>
      </w:pPr>
      <w:r>
        <w:rPr>
          <w:color w:val="262626"/>
          <w:sz w:val="21"/>
          <w:szCs w:val="21"/>
        </w:rPr>
        <w:t xml:space="preserve">Scope it as a single-pair, spot-only, centralized exchange. No blockchain, no smart contracts, no custody of real funds. The value here is entirely in the systems engineering — matching, sequencing, persistence, observability.</w:t>
      </w:r>
    </w:p>
    <w:p>
      <w:r>
        <w:br w:type="page"/>
      </w:r>
    </w:p>
    <w:p>
      <w:pPr>
        <w:pStyle w:val="Heading1"/>
        <w:pBdr>
          <w:bottom w:val="single" w:color="2E74B5" w:sz="8" w:space="4"/>
        </w:pBdr>
        <w:spacing w:after="160" w:before="360"/>
      </w:pPr>
      <w:r>
        <w:rPr>
          <w:b/>
          <w:bCs/>
          <w:color w:val="1F3864"/>
          <w:sz w:val="30"/>
          <w:szCs w:val="30"/>
        </w:rPr>
        <w:t xml:space="preserve">Terminology You Need Before You Write Code</w:t>
      </w:r>
    </w:p>
    <w:p>
      <w:pPr>
        <w:spacing w:after="160" w:line="276"/>
      </w:pPr>
      <w:r>
        <w:rPr>
          <w:color w:val="262626"/>
          <w:sz w:val="21"/>
          <w:szCs w:val="21"/>
        </w:rPr>
        <w:t xml:space="preserve">Spend an hour with these before Phase 1. Interviewers will use this vocabulary, and using it back correctly is half of sounding credible.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Term</w:t>
            </w:r>
          </w:p>
        </w:tc>
        <w:tc>
          <w:tcPr>
            <w:tcW w:type="dxa" w:w="360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Meaning</w:t>
            </w:r>
          </w:p>
        </w:tc>
        <w:tc>
          <w:tcPr>
            <w:tcW w:type="dxa" w:w="396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Why it matters here</w:t>
            </w:r>
          </w:p>
        </w:tc>
      </w:tr>
      <w:tr>
        <w:tc>
          <w:tcPr>
            <w:tcW w:type="dxa" w:w="18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Limit order</w:t>
            </w:r>
          </w:p>
        </w:tc>
        <w:tc>
          <w:tcPr>
            <w:tcW w:type="dxa" w:w="36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An order to buy/sell at a specific price or better.</w:t>
            </w:r>
          </w:p>
        </w:tc>
        <w:tc>
          <w:tcPr>
            <w:tcW w:type="dxa" w:w="39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The default order type; rests in the book until matched or cancelled.</w:t>
            </w:r>
          </w:p>
        </w:tc>
      </w:tr>
      <w:tr>
        <w:tc>
          <w:tcPr>
            <w:tcW w:type="dxa" w:w="18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Market order</w:t>
            </w:r>
          </w:p>
        </w:tc>
        <w:tc>
          <w:tcPr>
            <w:tcW w:type="dxa" w:w="36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An order to buy/sell immediately at the best available price.</w:t>
            </w:r>
          </w:p>
        </w:tc>
        <w:tc>
          <w:tcPr>
            <w:tcW w:type="dxa" w:w="39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Matches instantly against the book; never rests.</w:t>
            </w:r>
          </w:p>
        </w:tc>
      </w:tr>
      <w:tr>
        <w:tc>
          <w:tcPr>
            <w:tcW w:type="dxa" w:w="18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Price-time priority</w:t>
            </w:r>
          </w:p>
        </w:tc>
        <w:tc>
          <w:tcPr>
            <w:tcW w:type="dxa" w:w="36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Orders are matched best-price-first; ties broken by earliest arrival (FIFO).</w:t>
            </w:r>
          </w:p>
        </w:tc>
        <w:tc>
          <w:tcPr>
            <w:tcW w:type="dxa" w:w="39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The core matching rule almost every exchange uses — you'll implement this exactly.</w:t>
            </w:r>
          </w:p>
        </w:tc>
      </w:tr>
      <w:tr>
        <w:tc>
          <w:tcPr>
            <w:tcW w:type="dxa" w:w="18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Maker / taker</w:t>
            </w:r>
          </w:p>
        </w:tc>
        <w:tc>
          <w:tcPr>
            <w:tcW w:type="dxa" w:w="36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A "maker" adds liquidity (rests in the book); a "taker" removes it (matches immediately).</w:t>
            </w:r>
          </w:p>
        </w:tc>
        <w:tc>
          <w:tcPr>
            <w:tcW w:type="dxa" w:w="39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Real exchanges charge different fees for each — your Phase 7 fee engine depends on this.</w:t>
            </w:r>
          </w:p>
        </w:tc>
      </w:tr>
      <w:tr>
        <w:tc>
          <w:tcPr>
            <w:tcW w:type="dxa" w:w="18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Bid / ask spread</w:t>
            </w:r>
          </w:p>
        </w:tc>
        <w:tc>
          <w:tcPr>
            <w:tcW w:type="dxa" w:w="36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The gap between the best buy price (bid) and best sell price (ask).</w:t>
            </w:r>
          </w:p>
        </w:tc>
        <w:tc>
          <w:tcPr>
            <w:tcW w:type="dxa" w:w="39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A quick sanity check that your book is behaving correctly.</w:t>
            </w:r>
          </w:p>
        </w:tc>
      </w:tr>
      <w:tr>
        <w:tc>
          <w:tcPr>
            <w:tcW w:type="dxa" w:w="18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Partial fill</w:t>
            </w:r>
          </w:p>
        </w:tc>
        <w:tc>
          <w:tcPr>
            <w:tcW w:type="dxa" w:w="36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An order matches against multiple resting orders, filling in pieces.</w:t>
            </w:r>
          </w:p>
        </w:tc>
        <w:tc>
          <w:tcPr>
            <w:tcW w:type="dxa" w:w="39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The trickiest part of the matching loop to get right.</w:t>
            </w:r>
          </w:p>
        </w:tc>
      </w:tr>
      <w:tr>
        <w:tc>
          <w:tcPr>
            <w:tcW w:type="dxa" w:w="18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Order book depth</w:t>
            </w:r>
          </w:p>
        </w:tc>
        <w:tc>
          <w:tcPr>
            <w:tcW w:type="dxa" w:w="36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The list of resting orders at each price level, both sides.</w:t>
            </w:r>
          </w:p>
        </w:tc>
        <w:tc>
          <w:tcPr>
            <w:tcW w:type="dxa" w:w="39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What your WebSocket feed streams to clients in real time.</w:t>
            </w:r>
          </w:p>
        </w:tc>
      </w:tr>
    </w:tbl>
    <w:p>
      <w:r>
        <w:br w:type="page"/>
      </w:r>
    </w:p>
    <w:p>
      <w:pPr>
        <w:pStyle w:val="Heading1"/>
        <w:pBdr>
          <w:bottom w:val="single" w:color="2E74B5" w:sz="8" w:space="4"/>
        </w:pBdr>
        <w:spacing w:after="160" w:before="360"/>
      </w:pPr>
      <w:r>
        <w:rPr>
          <w:b/>
          <w:bCs/>
          <w:color w:val="1F3864"/>
          <w:sz w:val="30"/>
          <w:szCs w:val="30"/>
        </w:rPr>
        <w:t xml:space="preserve">High-Level Architecture</w:t>
      </w:r>
    </w:p>
    <w:p>
      <w:pPr>
        <w:spacing w:after="160" w:line="276"/>
      </w:pPr>
      <w:r>
        <w:rPr>
          <w:color w:val="262626"/>
          <w:sz w:val="21"/>
          <w:szCs w:val="21"/>
        </w:rPr>
        <w:t xml:space="preserve">The one non-negotiable design choice, highlighted in dark red below, is the event sequencer: every order for a given symbol is funneled through a single goroutine via a channel, so the matching engine itself never needs a lock. This mirrors how real exchanges (LMAX's Disruptor pattern, and most production crypto-exchange engines) avoid the concurrency bugs that plague naive lock-based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shd w:fill="808080" w:color="auto" w:val="clear"/>
            <w:tcMar>
              <w:top w:type="dxa" w:w="80"/>
              <w:left w:type="dxa" w:w="100"/>
              <w:bottom w:type="dxa" w:w="80"/>
              <w:right w:type="dxa" w:w="100"/>
            </w:tcMar>
            <w:vAlign w:val="center"/>
          </w:tcPr>
          <w:p>
            <w:pPr>
              <w:jc w:val="center"/>
            </w:pPr>
            <w:r>
              <w:rPr>
                <w:b/>
                <w:bCs/>
                <w:color w:val="FFFFFF"/>
                <w:sz w:val="20"/>
                <w:szCs w:val="20"/>
              </w:rPr>
              <w:t xml:space="preserve">CLIENT</w:t>
            </w:r>
          </w:p>
        </w:tc>
      </w:tr>
      <w:tr>
        <w:tc>
          <w:tcPr>
            <w:tcW w:type="dxa" w:w="9360"/>
            <w:gridSpan w:val="3"/>
            <w:tcMar>
              <w:top w:type="dxa" w:w="20"/>
              <w:left w:type="dxa" w:w="0"/>
              <w:bottom w:type="dxa" w:w="20"/>
              <w:right w:type="dxa" w:w="0"/>
            </w:tcMar>
          </w:tcPr>
          <w:p>
            <w:pPr>
              <w:jc w:val="center"/>
            </w:pPr>
            <w:r>
              <w:rPr>
                <w:b/>
                <w:bCs/>
                <w:color w:val="2E74B5"/>
                <w:sz w:val="20"/>
                <w:szCs w:val="20"/>
              </w:rPr>
              <w:t xml:space="preserve">▼</w:t>
            </w:r>
          </w:p>
        </w:tc>
      </w:tr>
      <w:tr>
        <w:tc>
          <w:tcPr>
            <w:tcW w:type="dxa" w:w="9360"/>
            <w:gridSpan w:val="3"/>
            <w:shd w:fill="1F3864" w:color="auto" w:val="clear"/>
            <w:tcMar>
              <w:top w:type="dxa" w:w="80"/>
              <w:left w:type="dxa" w:w="100"/>
              <w:bottom w:type="dxa" w:w="80"/>
              <w:right w:type="dxa" w:w="100"/>
            </w:tcMar>
            <w:vAlign w:val="center"/>
          </w:tcPr>
          <w:p>
            <w:pPr>
              <w:jc w:val="center"/>
            </w:pPr>
            <w:r>
              <w:rPr>
                <w:b/>
                <w:bCs/>
                <w:color w:val="FFFFFF"/>
                <w:sz w:val="20"/>
                <w:szCs w:val="20"/>
              </w:rPr>
              <w:t xml:space="preserve">API GATEWAY — routing · JWT auth (reused from Conduit) · rate limiting</w:t>
            </w:r>
          </w:p>
        </w:tc>
      </w:tr>
      <w:tr>
        <w:tc>
          <w:tcPr>
            <w:tcW w:type="dxa" w:w="9360"/>
            <w:gridSpan w:val="3"/>
            <w:tcMar>
              <w:top w:type="dxa" w:w="20"/>
              <w:left w:type="dxa" w:w="0"/>
              <w:bottom w:type="dxa" w:w="20"/>
              <w:right w:type="dxa" w:w="0"/>
            </w:tcMar>
          </w:tcPr>
          <w:p>
            <w:pPr>
              <w:jc w:val="center"/>
            </w:pPr>
            <w:r>
              <w:rPr>
                <w:b/>
                <w:bCs/>
                <w:color w:val="2E74B5"/>
                <w:sz w:val="20"/>
                <w:szCs w:val="20"/>
              </w:rPr>
              <w:t xml:space="preserve">▼</w:t>
            </w:r>
          </w:p>
        </w:tc>
      </w:tr>
      <w:tr>
        <w:tc>
          <w:tcPr>
            <w:tcW w:type="dxa" w:w="3120"/>
            <w:gridSpan w:val="1"/>
            <w:shd w:fill="2E74B5" w:color="auto" w:val="clear"/>
            <w:tcMar>
              <w:top w:type="dxa" w:w="80"/>
              <w:left w:type="dxa" w:w="100"/>
              <w:bottom w:type="dxa" w:w="80"/>
              <w:right w:type="dxa" w:w="100"/>
            </w:tcMar>
            <w:vAlign w:val="center"/>
          </w:tcPr>
          <w:p>
            <w:pPr>
              <w:jc w:val="center"/>
            </w:pPr>
            <w:r>
              <w:rPr>
                <w:b/>
                <w:bCs/>
                <w:color w:val="FFFFFF"/>
                <w:sz w:val="19"/>
                <w:szCs w:val="19"/>
              </w:rPr>
              <w:t xml:space="preserve">Order Service (REST)</w:t>
            </w:r>
          </w:p>
        </w:tc>
        <w:tc>
          <w:tcPr>
            <w:tcW w:type="dxa" w:w="3120"/>
            <w:gridSpan w:val="1"/>
            <w:shd w:fill="2E74B5" w:color="auto" w:val="clear"/>
            <w:tcMar>
              <w:top w:type="dxa" w:w="80"/>
              <w:left w:type="dxa" w:w="100"/>
              <w:bottom w:type="dxa" w:w="80"/>
              <w:right w:type="dxa" w:w="100"/>
            </w:tcMar>
            <w:vAlign w:val="center"/>
          </w:tcPr>
          <w:p>
            <w:pPr>
              <w:jc w:val="center"/>
            </w:pPr>
            <w:r>
              <w:rPr>
                <w:b/>
                <w:bCs/>
                <w:color w:val="FFFFFF"/>
                <w:sz w:val="19"/>
                <w:szCs w:val="19"/>
              </w:rPr>
              <w:t xml:space="preserve">Market Data Service (WS)</w:t>
            </w:r>
          </w:p>
        </w:tc>
        <w:tc>
          <w:tcPr>
            <w:tcW w:type="dxa" w:w="3120"/>
            <w:gridSpan w:val="1"/>
            <w:shd w:fill="2E74B5" w:color="auto" w:val="clear"/>
            <w:tcMar>
              <w:top w:type="dxa" w:w="80"/>
              <w:left w:type="dxa" w:w="100"/>
              <w:bottom w:type="dxa" w:w="80"/>
              <w:right w:type="dxa" w:w="100"/>
            </w:tcMar>
            <w:vAlign w:val="center"/>
          </w:tcPr>
          <w:p>
            <w:pPr>
              <w:jc w:val="center"/>
            </w:pPr>
            <w:r>
              <w:rPr>
                <w:b/>
                <w:bCs/>
                <w:color w:val="FFFFFF"/>
                <w:sz w:val="19"/>
                <w:szCs w:val="19"/>
              </w:rPr>
              <w:t xml:space="preserve">Admin / Risk Service</w:t>
            </w:r>
          </w:p>
        </w:tc>
      </w:tr>
      <w:tr>
        <w:tc>
          <w:tcPr>
            <w:tcW w:type="dxa" w:w="9360"/>
            <w:gridSpan w:val="3"/>
            <w:tcMar>
              <w:top w:type="dxa" w:w="20"/>
              <w:left w:type="dxa" w:w="0"/>
              <w:bottom w:type="dxa" w:w="20"/>
              <w:right w:type="dxa" w:w="0"/>
            </w:tcMar>
          </w:tcPr>
          <w:p>
            <w:pPr>
              <w:jc w:val="center"/>
            </w:pPr>
            <w:r>
              <w:rPr>
                <w:b/>
                <w:bCs/>
                <w:color w:val="2E74B5"/>
                <w:sz w:val="20"/>
                <w:szCs w:val="20"/>
              </w:rPr>
              <w:t xml:space="preserve">▼</w:t>
            </w:r>
          </w:p>
        </w:tc>
      </w:tr>
      <w:tr>
        <w:tc>
          <w:tcPr>
            <w:tcW w:type="dxa" w:w="9360"/>
            <w:gridSpan w:val="3"/>
            <w:shd w:fill="7B241C" w:color="auto" w:val="clear"/>
            <w:tcMar>
              <w:top w:type="dxa" w:w="80"/>
              <w:left w:type="dxa" w:w="100"/>
              <w:bottom w:type="dxa" w:w="80"/>
              <w:right w:type="dxa" w:w="100"/>
            </w:tcMar>
            <w:vAlign w:val="center"/>
          </w:tcPr>
          <w:p>
            <w:pPr>
              <w:jc w:val="center"/>
            </w:pPr>
            <w:r>
              <w:rPr>
                <w:b/>
                <w:bCs/>
                <w:color w:val="FFFFFF"/>
                <w:sz w:val="20"/>
                <w:szCs w:val="20"/>
              </w:rPr>
              <w:t xml:space="preserve">EVENT SEQUENCER — one goroutine per symbol, orders arrive over a channel, no locks on the hot path</w:t>
            </w:r>
          </w:p>
        </w:tc>
      </w:tr>
      <w:tr>
        <w:tc>
          <w:tcPr>
            <w:tcW w:type="dxa" w:w="9360"/>
            <w:gridSpan w:val="3"/>
            <w:tcMar>
              <w:top w:type="dxa" w:w="20"/>
              <w:left w:type="dxa" w:w="0"/>
              <w:bottom w:type="dxa" w:w="20"/>
              <w:right w:type="dxa" w:w="0"/>
            </w:tcMar>
          </w:tcPr>
          <w:p>
            <w:pPr>
              <w:jc w:val="center"/>
            </w:pPr>
            <w:r>
              <w:rPr>
                <w:b/>
                <w:bCs/>
                <w:color w:val="2E74B5"/>
                <w:sz w:val="20"/>
                <w:szCs w:val="20"/>
              </w:rPr>
              <w:t xml:space="preserve">▼</w:t>
            </w:r>
          </w:p>
        </w:tc>
      </w:tr>
      <w:tr>
        <w:tc>
          <w:tcPr>
            <w:tcW w:type="dxa" w:w="9360"/>
            <w:gridSpan w:val="3"/>
            <w:shd w:fill="1F3864" w:color="auto" w:val="clear"/>
            <w:tcMar>
              <w:top w:type="dxa" w:w="80"/>
              <w:left w:type="dxa" w:w="100"/>
              <w:bottom w:type="dxa" w:w="80"/>
              <w:right w:type="dxa" w:w="100"/>
            </w:tcMar>
            <w:vAlign w:val="center"/>
          </w:tcPr>
          <w:p>
            <w:pPr>
              <w:jc w:val="center"/>
            </w:pPr>
            <w:r>
              <w:rPr>
                <w:b/>
                <w:bCs/>
                <w:color w:val="FFFFFF"/>
                <w:sz w:val="20"/>
                <w:szCs w:val="20"/>
              </w:rPr>
              <w:t xml:space="preserve">MATCHING ENGINE — in-memory order book, price-time priority, partial fills</w:t>
            </w:r>
          </w:p>
        </w:tc>
      </w:tr>
      <w:tr>
        <w:tc>
          <w:tcPr>
            <w:tcW w:type="dxa" w:w="9360"/>
            <w:gridSpan w:val="3"/>
            <w:tcMar>
              <w:top w:type="dxa" w:w="20"/>
              <w:left w:type="dxa" w:w="0"/>
              <w:bottom w:type="dxa" w:w="20"/>
              <w:right w:type="dxa" w:w="0"/>
            </w:tcMar>
          </w:tcPr>
          <w:p>
            <w:pPr>
              <w:jc w:val="center"/>
            </w:pPr>
            <w:r>
              <w:rPr>
                <w:b/>
                <w:bCs/>
                <w:color w:val="2E74B5"/>
                <w:sz w:val="20"/>
                <w:szCs w:val="20"/>
              </w:rPr>
              <w:t xml:space="preserve">▼</w:t>
            </w:r>
          </w:p>
        </w:tc>
      </w:tr>
      <w:tr>
        <w:tc>
          <w:tcPr>
            <w:tcW w:type="dxa" w:w="3120"/>
            <w:gridSpan w:val="1"/>
            <w:shd w:fill="2E74B5" w:color="auto" w:val="clear"/>
            <w:tcMar>
              <w:top w:type="dxa" w:w="80"/>
              <w:left w:type="dxa" w:w="100"/>
              <w:bottom w:type="dxa" w:w="80"/>
              <w:right w:type="dxa" w:w="100"/>
            </w:tcMar>
            <w:vAlign w:val="center"/>
          </w:tcPr>
          <w:p>
            <w:pPr>
              <w:jc w:val="center"/>
            </w:pPr>
            <w:r>
              <w:rPr>
                <w:b/>
                <w:bCs/>
                <w:color w:val="FFFFFF"/>
                <w:sz w:val="19"/>
                <w:szCs w:val="19"/>
              </w:rPr>
              <w:t xml:space="preserve">Event Log (Postgres)</w:t>
            </w:r>
          </w:p>
        </w:tc>
        <w:tc>
          <w:tcPr>
            <w:tcW w:type="dxa" w:w="3120"/>
            <w:gridSpan w:val="1"/>
            <w:shd w:fill="2E74B5" w:color="auto" w:val="clear"/>
            <w:tcMar>
              <w:top w:type="dxa" w:w="80"/>
              <w:left w:type="dxa" w:w="100"/>
              <w:bottom w:type="dxa" w:w="80"/>
              <w:right w:type="dxa" w:w="100"/>
            </w:tcMar>
            <w:vAlign w:val="center"/>
          </w:tcPr>
          <w:p>
            <w:pPr>
              <w:jc w:val="center"/>
            </w:pPr>
            <w:r>
              <w:rPr>
                <w:b/>
                <w:bCs/>
                <w:color w:val="FFFFFF"/>
                <w:sz w:val="19"/>
                <w:szCs w:val="19"/>
              </w:rPr>
              <w:t xml:space="preserve">Ledger (double-entry)</w:t>
            </w:r>
          </w:p>
        </w:tc>
        <w:tc>
          <w:tcPr>
            <w:tcW w:type="dxa" w:w="3120"/>
            <w:gridSpan w:val="1"/>
            <w:shd w:fill="2E74B5" w:color="auto" w:val="clear"/>
            <w:tcMar>
              <w:top w:type="dxa" w:w="80"/>
              <w:left w:type="dxa" w:w="100"/>
              <w:bottom w:type="dxa" w:w="80"/>
              <w:right w:type="dxa" w:w="100"/>
            </w:tcMar>
            <w:vAlign w:val="center"/>
          </w:tcPr>
          <w:p>
            <w:pPr>
              <w:jc w:val="center"/>
            </w:pPr>
            <w:r>
              <w:rPr>
                <w:b/>
                <w:bCs/>
                <w:color w:val="FFFFFF"/>
                <w:sz w:val="19"/>
                <w:szCs w:val="19"/>
              </w:rPr>
              <w:t xml:space="preserve">Trade History</w:t>
            </w:r>
          </w:p>
        </w:tc>
      </w:tr>
      <w:tr>
        <w:tc>
          <w:tcPr>
            <w:tcW w:type="dxa" w:w="9360"/>
            <w:gridSpan w:val="3"/>
            <w:tcMar>
              <w:top w:type="dxa" w:w="20"/>
              <w:left w:type="dxa" w:w="0"/>
              <w:bottom w:type="dxa" w:w="20"/>
              <w:right w:type="dxa" w:w="0"/>
            </w:tcMar>
          </w:tcPr>
          <w:p>
            <w:pPr>
              <w:jc w:val="center"/>
            </w:pPr>
            <w:r>
              <w:rPr>
                <w:b/>
                <w:bCs/>
                <w:color w:val="2E74B5"/>
                <w:sz w:val="20"/>
                <w:szCs w:val="20"/>
              </w:rPr>
              <w:t xml:space="preserve">▼</w:t>
            </w:r>
          </w:p>
        </w:tc>
      </w:tr>
      <w:tr>
        <w:tc>
          <w:tcPr>
            <w:tcW w:type="dxa" w:w="9360"/>
            <w:gridSpan w:val="3"/>
            <w:shd w:fill="595959" w:color="auto" w:val="clear"/>
            <w:tcMar>
              <w:top w:type="dxa" w:w="80"/>
              <w:left w:type="dxa" w:w="100"/>
              <w:bottom w:type="dxa" w:w="80"/>
              <w:right w:type="dxa" w:w="100"/>
            </w:tcMar>
            <w:vAlign w:val="center"/>
          </w:tcPr>
          <w:p>
            <w:pPr>
              <w:jc w:val="center"/>
            </w:pPr>
            <w:r>
              <w:rPr>
                <w:b/>
                <w:bCs/>
                <w:color w:val="FFFFFF"/>
                <w:sz w:val="20"/>
                <w:szCs w:val="20"/>
              </w:rPr>
              <w:t xml:space="preserve">OBSERVABILITY — OpenTelemetry traces → Prometheus latency histograms → Grafana</w:t>
            </w:r>
          </w:p>
        </w:tc>
      </w:tr>
      <w:tr>
        <w:tc>
          <w:tcPr>
            <w:tcW w:type="dxa" w:w="9360"/>
            <w:gridSpan w:val="3"/>
            <w:tcMar>
              <w:top w:type="dxa" w:w="20"/>
              <w:left w:type="dxa" w:w="0"/>
              <w:bottom w:type="dxa" w:w="20"/>
              <w:right w:type="dxa" w:w="0"/>
            </w:tcMar>
          </w:tcPr>
          <w:p>
            <w:pPr>
              <w:jc w:val="center"/>
            </w:pPr>
            <w:r>
              <w:rPr>
                <w:b/>
                <w:bCs/>
                <w:color w:val="2E74B5"/>
                <w:sz w:val="20"/>
                <w:szCs w:val="20"/>
              </w:rPr>
              <w:t xml:space="preserve">▼</w:t>
            </w:r>
          </w:p>
        </w:tc>
      </w:tr>
      <w:tr>
        <w:tc>
          <w:tcPr>
            <w:tcW w:type="dxa" w:w="9360"/>
            <w:gridSpan w:val="3"/>
            <w:shd w:fill="808080" w:color="auto" w:val="clear"/>
            <w:tcMar>
              <w:top w:type="dxa" w:w="80"/>
              <w:left w:type="dxa" w:w="100"/>
              <w:bottom w:type="dxa" w:w="80"/>
              <w:right w:type="dxa" w:w="100"/>
            </w:tcMar>
            <w:vAlign w:val="center"/>
          </w:tcPr>
          <w:p>
            <w:pPr>
              <w:jc w:val="center"/>
            </w:pPr>
            <w:r>
              <w:rPr>
                <w:b/>
                <w:bCs/>
                <w:color w:val="FFFFFF"/>
                <w:sz w:val="20"/>
                <w:szCs w:val="20"/>
              </w:rPr>
              <w:t xml:space="preserve">DOCKER → KUBERNETES → CLOUD — load-tested with k6, chaos-tested for crash recovery</w:t>
            </w:r>
          </w:p>
        </w:tc>
      </w:tr>
    </w:tbl>
    <w:p>
      <w:pPr>
        <w:spacing w:before="240"/>
      </w:pPr>
    </w:p>
    <w:p>
      <w:pPr>
        <w:spacing w:after="80" w:before="200"/>
      </w:pPr>
      <w:r>
        <w:rPr>
          <w:b/>
          <w:bCs/>
          <w:color w:val="1F3864"/>
          <w:sz w:val="22"/>
          <w:szCs w:val="22"/>
        </w:rPr>
        <w:t xml:space="preserve">Why single-threaded-per-symbol, not locks</w:t>
      </w:r>
    </w:p>
    <w:p>
      <w:pPr>
        <w:spacing w:after="160" w:line="276"/>
      </w:pPr>
      <w:r>
        <w:rPr>
          <w:color w:val="262626"/>
          <w:sz w:val="21"/>
          <w:szCs w:val="21"/>
        </w:rPr>
        <w:t xml:space="preserve">The instinct is to protect the order book with a mutex and let many goroutines call into it concurrently. Real exchange engineering goes the other way: serialize all mutations for one symbol through a single consumer goroutine reading from a channel, and let producers (the API layer) simply send commands into that channel. You get strict ordering for free, zero lock contention on the hot path, and — critically — a system that's far easier to reason about and test, because "what happened" is just "the order the channel delivered messages in." Different symbols (BTC/USDT, ETH/USDT) each get their own goroutine and channel, so you get natural horizontal scaling by sharding on symbol without ever needing cross-symbol locking.</w:t>
      </w:r>
    </w:p>
    <w:p>
      <w:r>
        <w:br w:type="page"/>
      </w:r>
    </w:p>
    <w:p>
      <w:pPr>
        <w:pStyle w:val="Heading1"/>
        <w:pBdr>
          <w:bottom w:val="single" w:color="2E74B5" w:sz="8" w:space="4"/>
        </w:pBdr>
        <w:spacing w:after="160" w:before="360"/>
      </w:pPr>
      <w:r>
        <w:rPr>
          <w:b/>
          <w:bCs/>
          <w:color w:val="1F3864"/>
          <w:sz w:val="30"/>
          <w:szCs w:val="30"/>
        </w:rPr>
        <w:t xml:space="preserve">Data Model Sketch</w:t>
      </w:r>
    </w:p>
    <w:p>
      <w:pPr>
        <w:spacing w:after="160" w:line="276"/>
      </w:pPr>
      <w:r>
        <w:rPr>
          <w:color w:val="262626"/>
          <w:sz w:val="21"/>
          <w:szCs w:val="21"/>
        </w:rPr>
        <w:t xml:space="preserve">You don't need this exact schema, but sketch something like it before Phase 3 so persistence isn't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Table</w:t>
            </w:r>
          </w:p>
        </w:tc>
        <w:tc>
          <w:tcPr>
            <w:tcW w:type="dxa" w:w="340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Key columns</w:t>
            </w:r>
          </w:p>
        </w:tc>
        <w:tc>
          <w:tcPr>
            <w:tcW w:type="dxa" w:w="436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16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orders</w:t>
            </w:r>
          </w:p>
        </w:tc>
        <w:tc>
          <w:tcPr>
            <w:tcW w:type="dxa" w:w="34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id, client_order_id, user_id, symbol, side, type, price, qty, filled_qty, status, created_at</w:t>
            </w:r>
          </w:p>
        </w:tc>
        <w:tc>
          <w:tcPr>
            <w:tcW w:type="dxa" w:w="43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client_order_id is your idempotency key — the same submission retried never creates a second order.</w:t>
            </w:r>
          </w:p>
        </w:tc>
      </w:tr>
      <w:tr>
        <w:tc>
          <w:tcPr>
            <w:tcW w:type="dxa" w:w="16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order_events</w:t>
            </w:r>
          </w:p>
        </w:tc>
        <w:tc>
          <w:tcPr>
            <w:tcW w:type="dxa" w:w="34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id, order_id, event_type, payload, sequence_no, created_at</w:t>
            </w:r>
          </w:p>
        </w:tc>
        <w:tc>
          <w:tcPr>
            <w:tcW w:type="dxa" w:w="43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Append-only. This is your event log — replaying it in sequence order rebuilds the entire book from empty.</w:t>
            </w:r>
          </w:p>
        </w:tc>
      </w:tr>
      <w:tr>
        <w:tc>
          <w:tcPr>
            <w:tcW w:type="dxa" w:w="16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trades</w:t>
            </w:r>
          </w:p>
        </w:tc>
        <w:tc>
          <w:tcPr>
            <w:tcW w:type="dxa" w:w="34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id, symbol, maker_order_id, taker_order_id, price, qty, executed_at</w:t>
            </w:r>
          </w:p>
        </w:tc>
        <w:tc>
          <w:tcPr>
            <w:tcW w:type="dxa" w:w="43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One row per match. This is what your candle/OHLCV aggregator in Phase 7 consumes.</w:t>
            </w:r>
          </w:p>
        </w:tc>
      </w:tr>
      <w:tr>
        <w:tc>
          <w:tcPr>
            <w:tcW w:type="dxa" w:w="16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accounts</w:t>
            </w:r>
          </w:p>
        </w:tc>
        <w:tc>
          <w:tcPr>
            <w:tcW w:type="dxa" w:w="34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user_id, asset, available_balance, locked_balance</w:t>
            </w:r>
          </w:p>
        </w:tc>
        <w:tc>
          <w:tcPr>
            <w:tcW w:type="dxa" w:w="43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locked_balance holds funds reserved by open orders — the number your pre-trade risk check reads.</w:t>
            </w:r>
          </w:p>
        </w:tc>
      </w:tr>
      <w:tr>
        <w:tc>
          <w:tcPr>
            <w:tcW w:type="dxa" w:w="16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ledger_entries</w:t>
            </w:r>
          </w:p>
        </w:tc>
        <w:tc>
          <w:tcPr>
            <w:tcW w:type="dxa" w:w="34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id, account_id, order_id, trade_id, amount, entry_type (debit/credit), created_at</w:t>
            </w:r>
          </w:p>
        </w:tc>
        <w:tc>
          <w:tcPr>
            <w:tcW w:type="dxa" w:w="43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Double-entry: every trade produces balanced debit/credit rows. Sum per account must always reconcile to the balance.</w:t>
            </w:r>
          </w:p>
        </w:tc>
      </w:tr>
    </w:tbl>
    <w:p>
      <w:r>
        <w:br w:type="page"/>
      </w:r>
    </w:p>
    <w:p>
      <w:pPr>
        <w:pStyle w:val="Heading1"/>
        <w:pBdr>
          <w:bottom w:val="single" w:color="2E74B5" w:sz="8" w:space="4"/>
        </w:pBdr>
        <w:spacing w:after="160" w:before="360"/>
      </w:pPr>
      <w:r>
        <w:rPr>
          <w:b/>
          <w:bCs/>
          <w:color w:val="1F3864"/>
          <w:sz w:val="30"/>
          <w:szCs w:val="30"/>
        </w:rPr>
        <w:t xml:space="preserve">Phased Build Plan — Timed Alongside the Main Roadmap</w:t>
      </w:r>
    </w:p>
    <w:p>
      <w:pPr>
        <w:spacing w:after="160" w:line="276"/>
      </w:pPr>
      <w:r>
        <w:rPr>
          <w:color w:val="262626"/>
          <w:sz w:val="21"/>
          <w:szCs w:val="21"/>
        </w:rPr>
        <w:t xml:space="preserve">Each phase is written against the week numbers from your main Golang roadmap, so you're layering this in rather than competing with it — e.g. Phase 2's concurrency work reinforces the exact goroutine/channel material you're covering in Weeks 1–2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560"/>
        <w:gridCol w:w="3400"/>
      </w:tblGrid>
      <w:tr>
        <w:trPr>
          <w:tblHeader/>
        </w:trPr>
        <w:tc>
          <w:tcPr>
            <w:tcW w:type="dxa" w:w="700"/>
            <w:gridSpan w:val="1"/>
            <w:shd w:fill="1F3864" w:color="auto" w:val="clear"/>
            <w:tcMar>
              <w:top w:type="dxa" w:w="80"/>
              <w:left w:type="dxa" w:w="100"/>
              <w:bottom w:type="dxa" w:w="80"/>
              <w:right w:type="dxa" w:w="100"/>
            </w:tcMar>
            <w:vAlign w:val="center"/>
          </w:tcPr>
          <w:p>
            <w:pPr>
              <w:jc w:val="center"/>
            </w:pPr>
            <w:r>
              <w:rPr>
                <w:b/>
                <w:bCs/>
                <w:color w:val="FFFFFF"/>
                <w:sz w:val="19"/>
                <w:szCs w:val="19"/>
              </w:rPr>
              <w:t xml:space="preserve">Ph.</w:t>
            </w:r>
          </w:p>
        </w:tc>
        <w:tc>
          <w:tcPr>
            <w:tcW w:type="dxa" w:w="170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Timing (parallel to main roadmap)</w:t>
            </w:r>
          </w:p>
        </w:tc>
        <w:tc>
          <w:tcPr>
            <w:tcW w:type="dxa" w:w="356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Focus &amp; What You Build</w:t>
            </w:r>
          </w:p>
        </w:tc>
        <w:tc>
          <w:tcPr>
            <w:tcW w:type="dxa" w:w="340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Deliverable</w:t>
            </w:r>
          </w:p>
        </w:tc>
      </w:tr>
      <w:tr>
        <w:tc>
          <w:tcPr>
            <w:tcW w:type="dxa" w:w="700"/>
            <w:gridSpan w:val="1"/>
            <w:shd w:fill="FFFFFF" w:color="auto" w:val="clear"/>
            <w:tcMar>
              <w:top w:type="dxa" w:w="80"/>
              <w:left w:type="dxa" w:w="100"/>
              <w:bottom w:type="dxa" w:w="80"/>
              <w:right w:type="dxa" w:w="100"/>
            </w:tcMar>
            <w:vAlign w:val="center"/>
          </w:tcPr>
          <w:p>
            <w:pPr>
              <w:jc w:val="center"/>
            </w:pPr>
            <w:r>
              <w:rPr>
                <w:b/>
                <w:bCs/>
                <w:color w:val="262626"/>
                <w:sz w:val="19"/>
                <w:szCs w:val="19"/>
              </w:rPr>
              <w:t xml:space="preserve">0</w:t>
            </w:r>
          </w:p>
        </w:tc>
        <w:tc>
          <w:tcPr>
            <w:tcW w:type="dxa" w:w="17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Before Week 1 (~2-3 hrs)</w:t>
            </w:r>
          </w:p>
        </w:tc>
        <w:tc>
          <w:tcPr>
            <w:tcW w:type="dxa" w:w="35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Domain research: read the LMAX Architecture write-up and one order-matching-engine explainer. Sketch your own order book design on paper before writing code.</w:t>
            </w:r>
          </w:p>
        </w:tc>
        <w:tc>
          <w:tcPr>
            <w:tcW w:type="dxa" w:w="34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A one-page design sketch: your order struct, your book structure, your matching loop — before any Go code.</w:t>
            </w:r>
          </w:p>
        </w:tc>
      </w:tr>
      <w:tr>
        <w:tc>
          <w:tcPr>
            <w:tcW w:type="dxa" w:w="700"/>
            <w:gridSpan w:val="1"/>
            <w:shd w:fill="F2F2F2" w:color="auto" w:val="clear"/>
            <w:tcMar>
              <w:top w:type="dxa" w:w="80"/>
              <w:left w:type="dxa" w:w="100"/>
              <w:bottom w:type="dxa" w:w="80"/>
              <w:right w:type="dxa" w:w="100"/>
            </w:tcMar>
            <w:vAlign w:val="center"/>
          </w:tcPr>
          <w:p>
            <w:pPr>
              <w:jc w:val="center"/>
            </w:pPr>
            <w:r>
              <w:rPr>
                <w:b/>
                <w:bCs/>
                <w:color w:val="262626"/>
                <w:sz w:val="19"/>
                <w:szCs w:val="19"/>
              </w:rPr>
              <w:t xml:space="preserve">1</w:t>
            </w:r>
          </w:p>
        </w:tc>
        <w:tc>
          <w:tcPr>
            <w:tcW w:type="dxa" w:w="17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Weeks 1-2 (parallel to Go concurrency core)</w:t>
            </w:r>
          </w:p>
        </w:tc>
        <w:tc>
          <w:tcPr>
            <w:tcW w:type="dxa" w:w="35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In-memory order book for a single symbol. Sorted price levels (container/heap or a btree), FIFO queue per level, price-time priority matching for limit orders, partial fills.</w:t>
            </w:r>
          </w:p>
        </w:tc>
        <w:tc>
          <w:tcPr>
            <w:tcW w:type="dxa" w:w="34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A working, single-threaded matching function with unit tests covering full fills, partial fills, and no-match cases.</w:t>
            </w:r>
          </w:p>
        </w:tc>
      </w:tr>
      <w:tr>
        <w:tc>
          <w:tcPr>
            <w:tcW w:type="dxa" w:w="700"/>
            <w:gridSpan w:val="1"/>
            <w:shd w:fill="FFFFFF" w:color="auto" w:val="clear"/>
            <w:tcMar>
              <w:top w:type="dxa" w:w="80"/>
              <w:left w:type="dxa" w:w="100"/>
              <w:bottom w:type="dxa" w:w="80"/>
              <w:right w:type="dxa" w:w="100"/>
            </w:tcMar>
            <w:vAlign w:val="center"/>
          </w:tcPr>
          <w:p>
            <w:pPr>
              <w:jc w:val="center"/>
            </w:pPr>
            <w:r>
              <w:rPr>
                <w:b/>
                <w:bCs/>
                <w:color w:val="262626"/>
                <w:sz w:val="19"/>
                <w:szCs w:val="19"/>
              </w:rPr>
              <w:t xml:space="preserve">2</w:t>
            </w:r>
          </w:p>
        </w:tc>
        <w:tc>
          <w:tcPr>
            <w:tcW w:type="dxa" w:w="17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Weeks 2-4 (parallel to profiling + Gin + Postgres)</w:t>
            </w:r>
          </w:p>
        </w:tc>
        <w:tc>
          <w:tcPr>
            <w:tcW w:type="dxa" w:w="35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Wrap the book in the event-sequencer pattern: one goroutine per symbol consuming orders from a channel. Add market orders and cancellations. Benchmark with testing.B and pprof.</w:t>
            </w:r>
          </w:p>
        </w:tc>
        <w:tc>
          <w:tcPr>
            <w:tcW w:type="dxa" w:w="34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Concurrency-safe matching core with a benchmark showing throughput (orders/sec) and a flame graph of the hot path.</w:t>
            </w:r>
          </w:p>
        </w:tc>
      </w:tr>
      <w:tr>
        <w:tc>
          <w:tcPr>
            <w:tcW w:type="dxa" w:w="700"/>
            <w:gridSpan w:val="1"/>
            <w:shd w:fill="F2F2F2" w:color="auto" w:val="clear"/>
            <w:tcMar>
              <w:top w:type="dxa" w:w="80"/>
              <w:left w:type="dxa" w:w="100"/>
              <w:bottom w:type="dxa" w:w="80"/>
              <w:right w:type="dxa" w:w="100"/>
            </w:tcMar>
            <w:vAlign w:val="center"/>
          </w:tcPr>
          <w:p>
            <w:pPr>
              <w:jc w:val="center"/>
            </w:pPr>
            <w:r>
              <w:rPr>
                <w:b/>
                <w:bCs/>
                <w:color w:val="262626"/>
                <w:sz w:val="19"/>
                <w:szCs w:val="19"/>
              </w:rPr>
              <w:t xml:space="preserve">3</w:t>
            </w:r>
          </w:p>
        </w:tc>
        <w:tc>
          <w:tcPr>
            <w:tcW w:type="dxa" w:w="17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Weeks 4-6 (parallel to Postgres + testing + clean architecture)</w:t>
            </w:r>
          </w:p>
        </w:tc>
        <w:tc>
          <w:tcPr>
            <w:tcW w:type="dxa" w:w="35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Event sourcing: append every order/cancel event to Postgres, rebuild the book by replaying events on startup. Double-entry ledger for balances. Deterministic-replay tests.</w:t>
            </w:r>
          </w:p>
        </w:tc>
        <w:tc>
          <w:tcPr>
            <w:tcW w:type="dxa" w:w="34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Kill the process mid-run, restart it, and the order book rebuilds to the exact same state — with a test that proves it.</w:t>
            </w:r>
          </w:p>
        </w:tc>
      </w:tr>
      <w:tr>
        <w:tc>
          <w:tcPr>
            <w:tcW w:type="dxa" w:w="700"/>
            <w:gridSpan w:val="1"/>
            <w:shd w:fill="FFFFFF" w:color="auto" w:val="clear"/>
            <w:tcMar>
              <w:top w:type="dxa" w:w="80"/>
              <w:left w:type="dxa" w:w="100"/>
              <w:bottom w:type="dxa" w:w="80"/>
              <w:right w:type="dxa" w:w="100"/>
            </w:tcMar>
            <w:vAlign w:val="center"/>
          </w:tcPr>
          <w:p>
            <w:pPr>
              <w:jc w:val="center"/>
            </w:pPr>
            <w:r>
              <w:rPr>
                <w:b/>
                <w:bCs/>
                <w:color w:val="262626"/>
                <w:sz w:val="19"/>
                <w:szCs w:val="19"/>
              </w:rPr>
              <w:t xml:space="preserve">4</w:t>
            </w:r>
          </w:p>
        </w:tc>
        <w:tc>
          <w:tcPr>
            <w:tcW w:type="dxa" w:w="17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Weeks 7-9 (parallel to Redis + gRPC + API gateway)</w:t>
            </w:r>
          </w:p>
        </w:tc>
        <w:tc>
          <w:tcPr>
            <w:tcW w:type="dxa" w:w="35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REST API (Gin) for order placement/cancel/status. WebSocket feed broadcasting live order-book depth, trade tape, and ticker via fan-out. Reuse/adapt Conduit's Auth Service for JWT auth.</w:t>
            </w:r>
          </w:p>
        </w:tc>
        <w:tc>
          <w:tcPr>
            <w:tcW w:type="dxa" w:w="34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A client can place an order over REST and watch it appear, fill, and update the book live over WebSocket.</w:t>
            </w:r>
          </w:p>
        </w:tc>
      </w:tr>
      <w:tr>
        <w:tc>
          <w:tcPr>
            <w:tcW w:type="dxa" w:w="700"/>
            <w:gridSpan w:val="1"/>
            <w:shd w:fill="F2F2F2" w:color="auto" w:val="clear"/>
            <w:tcMar>
              <w:top w:type="dxa" w:w="80"/>
              <w:left w:type="dxa" w:w="100"/>
              <w:bottom w:type="dxa" w:w="80"/>
              <w:right w:type="dxa" w:w="100"/>
            </w:tcMar>
            <w:vAlign w:val="center"/>
          </w:tcPr>
          <w:p>
            <w:pPr>
              <w:jc w:val="center"/>
            </w:pPr>
            <w:r>
              <w:rPr>
                <w:b/>
                <w:bCs/>
                <w:color w:val="262626"/>
                <w:sz w:val="19"/>
                <w:szCs w:val="19"/>
              </w:rPr>
              <w:t xml:space="preserve">5</w:t>
            </w:r>
          </w:p>
        </w:tc>
        <w:tc>
          <w:tcPr>
            <w:tcW w:type="dxa" w:w="17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Weeks 9-12 (parallel to microservices + resilience)</w:t>
            </w:r>
          </w:p>
        </w:tc>
        <w:tc>
          <w:tcPr>
            <w:tcW w:type="dxa" w:w="35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Pre-trade risk checks (balance/locked-balance validation), atomic balance debit/credit in the same transaction as trade recording, circuit breakers, graceful shutdown, symbol sharding.</w:t>
            </w:r>
          </w:p>
        </w:tc>
        <w:tc>
          <w:tcPr>
            <w:tcW w:type="dxa" w:w="34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Two independently-scaled matching engine shards (e.g. BTC/USDT and ETH/USDT), each with its own goroutine, routed to by the gateway.</w:t>
            </w:r>
          </w:p>
        </w:tc>
      </w:tr>
      <w:tr>
        <w:tc>
          <w:tcPr>
            <w:tcW w:type="dxa" w:w="700"/>
            <w:gridSpan w:val="1"/>
            <w:shd w:fill="FFFFFF" w:color="auto" w:val="clear"/>
            <w:tcMar>
              <w:top w:type="dxa" w:w="80"/>
              <w:left w:type="dxa" w:w="100"/>
              <w:bottom w:type="dxa" w:w="80"/>
              <w:right w:type="dxa" w:w="100"/>
            </w:tcMar>
            <w:vAlign w:val="center"/>
          </w:tcPr>
          <w:p>
            <w:pPr>
              <w:jc w:val="center"/>
            </w:pPr>
            <w:r>
              <w:rPr>
                <w:b/>
                <w:bCs/>
                <w:color w:val="262626"/>
                <w:sz w:val="19"/>
                <w:szCs w:val="19"/>
              </w:rPr>
              <w:t xml:space="preserve">6</w:t>
            </w:r>
          </w:p>
        </w:tc>
        <w:tc>
          <w:tcPr>
            <w:tcW w:type="dxa" w:w="17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Weeks 13-18 (parallel to Docker, K8s, observability)</w:t>
            </w:r>
          </w:p>
        </w:tc>
        <w:tc>
          <w:tcPr>
            <w:tcW w:type="dxa" w:w="35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Dockerize, deploy to Kubernetes, Prometheus latency histograms on the matching path, OpenTelemetry tracing an order's full journey, Grafana dashboard, k6 load test, a deliberate chaos test.</w:t>
            </w:r>
          </w:p>
        </w:tc>
        <w:tc>
          <w:tcPr>
            <w:tcW w:type="dxa" w:w="34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Real p50/p99 latency numbers under load, plus a documented chaos test: kill the engine mid-processing, confirm clean recovery.</w:t>
            </w:r>
          </w:p>
        </w:tc>
      </w:tr>
      <w:tr>
        <w:tc>
          <w:tcPr>
            <w:tcW w:type="dxa" w:w="700"/>
            <w:gridSpan w:val="1"/>
            <w:shd w:fill="F2F2F2" w:color="auto" w:val="clear"/>
            <w:tcMar>
              <w:top w:type="dxa" w:w="80"/>
              <w:left w:type="dxa" w:w="100"/>
              <w:bottom w:type="dxa" w:w="80"/>
              <w:right w:type="dxa" w:w="100"/>
            </w:tcMar>
            <w:vAlign w:val="center"/>
          </w:tcPr>
          <w:p>
            <w:pPr>
              <w:jc w:val="center"/>
            </w:pPr>
            <w:r>
              <w:rPr>
                <w:b/>
                <w:bCs/>
                <w:color w:val="262626"/>
                <w:sz w:val="19"/>
                <w:szCs w:val="19"/>
              </w:rPr>
              <w:t xml:space="preserve">7</w:t>
            </w:r>
          </w:p>
        </w:tc>
        <w:tc>
          <w:tcPr>
            <w:tcW w:type="dxa" w:w="17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Weeks 19-24 (stretch, parallel to Conduit's workflow core)</w:t>
            </w:r>
          </w:p>
        </w:tc>
        <w:tc>
          <w:tcPr>
            <w:tcW w:type="dxa" w:w="35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Advanced order types (stop-loss, stop-limit, iceberg), multi-pair support, maker/taker fee engine, and an OHLCV candle-aggregation service consuming trade events over Kafka.</w:t>
            </w:r>
          </w:p>
        </w:tc>
        <w:tc>
          <w:tcPr>
            <w:tcW w:type="dxa" w:w="34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A separate consumer service builds live 1-minute candles from your trade stream — directly reusing the event-driven pattern from Conduit.</w:t>
            </w:r>
          </w:p>
        </w:tc>
      </w:tr>
    </w:tbl>
    <w:p>
      <w:r>
        <w:br w:type="page"/>
      </w:r>
    </w:p>
    <w:p>
      <w:pPr>
        <w:pStyle w:val="Heading1"/>
        <w:pBdr>
          <w:bottom w:val="single" w:color="2E74B5" w:sz="8" w:space="4"/>
        </w:pBdr>
        <w:spacing w:after="160" w:before="360"/>
      </w:pPr>
      <w:r>
        <w:rPr>
          <w:b/>
          <w:bCs/>
          <w:color w:val="1F3864"/>
          <w:sz w:val="30"/>
          <w:szCs w:val="30"/>
        </w:rPr>
        <w:t xml:space="preserve">Testing Strategy — This Is Where Trust Is Won</w:t>
      </w:r>
    </w:p>
    <w:p>
      <w:pPr>
        <w:spacing w:after="160" w:line="276"/>
      </w:pPr>
      <w:r>
        <w:rPr>
          <w:color w:val="262626"/>
          <w:sz w:val="21"/>
          <w:szCs w:val="21"/>
        </w:rPr>
        <w:t xml:space="preserve">Generic CRUD tests won't cut it here, and interviewers who've worked on trading or payments systems will probe specifically for this. Build these four kinds of tests, in this order:</w:t>
      </w:r>
    </w:p>
    <w:p>
      <w:pPr>
        <w:pStyle w:val="ListParagraph"/>
        <w:numPr>
          <w:ilvl w:val="0"/>
          <w:numId w:val="2"/>
        </w:numPr>
        <w:spacing w:after="80"/>
      </w:pPr>
      <w:r>
        <w:rPr>
          <w:color w:val="262626"/>
          <w:sz w:val="21"/>
          <w:szCs w:val="21"/>
        </w:rPr>
        <w:t xml:space="preserve">Unit tests on the matching function — exact fills, partial fills, no-match, price-time tie-breaking, cancellation mid-book.</w:t>
      </w:r>
    </w:p>
    <w:p>
      <w:pPr>
        <w:pStyle w:val="ListParagraph"/>
        <w:numPr>
          <w:ilvl w:val="0"/>
          <w:numId w:val="2"/>
        </w:numPr>
        <w:spacing w:after="80"/>
      </w:pPr>
      <w:r>
        <w:rPr>
          <w:color w:val="262626"/>
          <w:sz w:val="21"/>
          <w:szCs w:val="21"/>
        </w:rPr>
        <w:t xml:space="preserve">Invariant / property-based tests — generate random sequences of orders and assert invariants that must always hold: total quantity is conserved across a match, no account ever goes negative, every trade has a balanced debit and credit.</w:t>
      </w:r>
    </w:p>
    <w:p>
      <w:pPr>
        <w:pStyle w:val="ListParagraph"/>
        <w:numPr>
          <w:ilvl w:val="0"/>
          <w:numId w:val="2"/>
        </w:numPr>
        <w:spacing w:after="80"/>
      </w:pPr>
      <w:r>
        <w:rPr>
          <w:color w:val="262626"/>
          <w:sz w:val="21"/>
          <w:szCs w:val="21"/>
        </w:rPr>
        <w:t xml:space="preserve">Deterministic replay tests — record a real sequence of events, replay it twice, assert the resulting book state is byte-for-byte identical both times.</w:t>
      </w:r>
    </w:p>
    <w:p>
      <w:pPr>
        <w:pStyle w:val="ListParagraph"/>
        <w:numPr>
          <w:ilvl w:val="0"/>
          <w:numId w:val="2"/>
        </w:numPr>
        <w:spacing w:after="80"/>
      </w:pPr>
      <w:r>
        <w:rPr>
          <w:color w:val="262626"/>
          <w:sz w:val="21"/>
          <w:szCs w:val="21"/>
        </w:rPr>
        <w:t xml:space="preserve">Concurrency / chaos tests — fire concurrent order submissions at the sequencer and confirm no interleaving corrupts state; kill the process mid-batch and confirm the event log replay recovers exactly.</w:t>
      </w:r>
    </w:p>
    <w:p>
      <w:pPr>
        <w:spacing w:after="160" w:line="276"/>
      </w:pPr>
      <w:r>
        <w:rPr>
          <w:color w:val="262626"/>
          <w:sz w:val="21"/>
          <w:szCs w:val="21"/>
        </w:rPr>
        <w:t xml:space="preserve">Screenshot or log the output of at least one property-based test run and one chaos-test recovery — these make excellent, very specific interview evidence.</w:t>
      </w:r>
    </w:p>
    <w:p>
      <w:r>
        <w:br w:type="page"/>
      </w:r>
    </w:p>
    <w:p>
      <w:pPr>
        <w:pStyle w:val="Heading1"/>
        <w:pBdr>
          <w:bottom w:val="single" w:color="2E74B5" w:sz="8" w:space="4"/>
        </w:pBdr>
        <w:spacing w:after="160" w:before="360"/>
      </w:pPr>
      <w:r>
        <w:rPr>
          <w:b/>
          <w:bCs/>
          <w:color w:val="1F3864"/>
          <w:sz w:val="30"/>
          <w:szCs w:val="30"/>
        </w:rPr>
        <w:t xml:space="preserve">What You Can Say in the Interview</w:t>
      </w:r>
    </w:p>
    <w:p>
      <w:pPr>
        <w:spacing w:after="160" w:line="276"/>
      </w:pPr>
      <w:r>
        <w:rPr>
          <w:color w:val="262626"/>
          <w:sz w:val="21"/>
          <w:szCs w:val="21"/>
        </w:rPr>
        <w:t xml:space="preserve">This is the payoff for the effort above: specific, defensible answers instead of vague project-description hand-waving. Practice saying these out loud, in your own words, not memorized.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60"/>
      </w:tblGrid>
      <w:tr>
        <w:trPr>
          <w:tblHeader/>
        </w:trPr>
        <w:tc>
          <w:tcPr>
            <w:tcW w:type="dxa" w:w="240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If they ask...</w:t>
            </w:r>
          </w:p>
        </w:tc>
        <w:tc>
          <w:tcPr>
            <w:tcW w:type="dxa" w:w="390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You can say...</w:t>
            </w:r>
          </w:p>
        </w:tc>
        <w:tc>
          <w:tcPr>
            <w:tcW w:type="dxa" w:w="3060"/>
            <w:gridSpan w:val="1"/>
            <w:shd w:fill="1F3864" w:color="auto" w:val="clear"/>
            <w:tcMar>
              <w:top w:type="dxa" w:w="80"/>
              <w:left w:type="dxa" w:w="100"/>
              <w:bottom w:type="dxa" w:w="80"/>
              <w:right w:type="dxa" w:w="100"/>
            </w:tcMar>
            <w:vAlign w:val="center"/>
          </w:tcPr>
          <w:p>
            <w:pPr>
              <w:jc w:val="left"/>
            </w:pPr>
            <w:r>
              <w:rPr>
                <w:b/>
                <w:bCs/>
                <w:color w:val="FFFFFF"/>
                <w:sz w:val="19"/>
                <w:szCs w:val="19"/>
              </w:rPr>
              <w:t xml:space="preserve">Because you actually...</w:t>
            </w:r>
          </w:p>
        </w:tc>
      </w:tr>
      <w:tr>
        <w:tc>
          <w:tcPr>
            <w:tcW w:type="dxa" w:w="24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"Walk me through a project you're proud of."</w:t>
            </w:r>
          </w:p>
        </w:tc>
        <w:tc>
          <w:tcPr>
            <w:tcW w:type="dxa" w:w="39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"I built a centralized exchange matching engine in Go — the same core problem LMAX and most crypto exchanges solve — including price-time priority matching, event sourcing for crash recovery, and a real-time WebSocket feed."</w:t>
            </w:r>
          </w:p>
        </w:tc>
        <w:tc>
          <w:tcPr>
            <w:tcW w:type="dxa" w:w="30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Built exactly that, from scratch, with tests proving it.</w:t>
            </w:r>
          </w:p>
        </w:tc>
      </w:tr>
      <w:tr>
        <w:tc>
          <w:tcPr>
            <w:tcW w:type="dxa" w:w="24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"How do you avoid race conditions in Go?"</w:t>
            </w:r>
          </w:p>
        </w:tc>
        <w:tc>
          <w:tcPr>
            <w:tcW w:type="dxa" w:w="39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"For my matching engine's hot path, I avoided locks entirely — one goroutine per symbol consumes orders off a channel, so mutations are naturally serialized. It's the same pattern behind LMAX's Disruptor architecture."</w:t>
            </w:r>
          </w:p>
        </w:tc>
        <w:tc>
          <w:tcPr>
            <w:tcW w:type="dxa" w:w="30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Implemented the single-writer/channel-sequencer pattern yourself.</w:t>
            </w:r>
          </w:p>
        </w:tc>
      </w:tr>
      <w:tr>
        <w:tc>
          <w:tcPr>
            <w:tcW w:type="dxa" w:w="24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"How would this recover from a crash?"</w:t>
            </w:r>
          </w:p>
        </w:tc>
        <w:tc>
          <w:tcPr>
            <w:tcW w:type="dxa" w:w="39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"Every order and cancellation is an event appended to an append-only log. On restart, I replay the log in sequence to rebuild the exact book state — I have a test that kills the process mid-run and verifies the replayed state matches."</w:t>
            </w:r>
          </w:p>
        </w:tc>
        <w:tc>
          <w:tcPr>
            <w:tcW w:type="dxa" w:w="30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Built event sourcing and wrote the replay-determinism test.</w:t>
            </w:r>
          </w:p>
        </w:tc>
      </w:tr>
      <w:tr>
        <w:tc>
          <w:tcPr>
            <w:tcW w:type="dxa" w:w="24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"How do you prevent duplicate processing?"</w:t>
            </w:r>
          </w:p>
        </w:tc>
        <w:tc>
          <w:tcPr>
            <w:tcW w:type="dxa" w:w="39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"Every order carries a client-generated idempotency key. If the same submission is retried — say, after a network timeout — it's a no-op instead of a second order."</w:t>
            </w:r>
          </w:p>
        </w:tc>
        <w:tc>
          <w:tcPr>
            <w:tcW w:type="dxa" w:w="30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Implemented client_order_id-based idempotency.</w:t>
            </w:r>
          </w:p>
        </w:tc>
      </w:tr>
      <w:tr>
        <w:tc>
          <w:tcPr>
            <w:tcW w:type="dxa" w:w="24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"How would you scale this?"</w:t>
            </w:r>
          </w:p>
        </w:tc>
        <w:tc>
          <w:tcPr>
            <w:tcW w:type="dxa" w:w="39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"Horizontally, by sharding matching engines per trading pair — each symbol gets its own goroutine and, if needed, its own process. No cross-symbol locking is required because symbols never share matching state."</w:t>
            </w:r>
          </w:p>
        </w:tc>
        <w:tc>
          <w:tcPr>
            <w:tcW w:type="dxa" w:w="30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Actually sharded BTC/USDT and ETH/USDT independently in Phase 5.</w:t>
            </w:r>
          </w:p>
        </w:tc>
      </w:tr>
      <w:tr>
        <w:tc>
          <w:tcPr>
            <w:tcW w:type="dxa" w:w="24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"What's your latency like, and how do you know?"</w:t>
            </w:r>
          </w:p>
        </w:tc>
        <w:tc>
          <w:tcPr>
            <w:tcW w:type="dxa" w:w="39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"I load-tested with k6 and captured real p50/p99 latency histograms in Prometheus — here's the dashboard."</w:t>
            </w:r>
          </w:p>
        </w:tc>
        <w:tc>
          <w:tcPr>
            <w:tcW w:type="dxa" w:w="30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Ran the load test and built the Grafana dashboard in Phase 6.</w:t>
            </w:r>
          </w:p>
        </w:tc>
      </w:tr>
      <w:tr>
        <w:tc>
          <w:tcPr>
            <w:tcW w:type="dxa" w:w="2400"/>
            <w:gridSpan w:val="1"/>
            <w:shd w:fill="FFFFFF" w:color="auto" w:val="clear"/>
            <w:tcMar>
              <w:top w:type="dxa" w:w="80"/>
              <w:left w:type="dxa" w:w="100"/>
              <w:bottom w:type="dxa" w:w="80"/>
              <w:right w:type="dxa" w:w="100"/>
            </w:tcMar>
            <w:vAlign w:val="center"/>
          </w:tcPr>
          <w:p>
            <w:pPr>
              <w:jc w:val="left"/>
            </w:pPr>
            <w:r>
              <w:rPr>
                <w:b/>
                <w:bCs/>
                <w:color w:val="262626"/>
                <w:sz w:val="19"/>
                <w:szCs w:val="19"/>
              </w:rPr>
              <w:t xml:space="preserve">"How do you test something this correctness-critical?"</w:t>
            </w:r>
          </w:p>
        </w:tc>
        <w:tc>
          <w:tcPr>
            <w:tcW w:type="dxa" w:w="390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"Beyond unit tests, I wrote property-based tests that fire random order sequences and assert invariants like 'no account ever goes negative' and 'every trade has a balanced ledger entry' — that's caught real bugs a simple unit test wouldn't."</w:t>
            </w:r>
          </w:p>
        </w:tc>
        <w:tc>
          <w:tcPr>
            <w:tcW w:type="dxa" w:w="3060"/>
            <w:gridSpan w:val="1"/>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Wrote invariant/property-based tests, and (very likely) actually caught a bug this way.</w:t>
            </w:r>
          </w:p>
        </w:tc>
      </w:tr>
      <w:tr>
        <w:tc>
          <w:tcPr>
            <w:tcW w:type="dxa" w:w="2400"/>
            <w:gridSpan w:val="1"/>
            <w:shd w:fill="F2F2F2" w:color="auto" w:val="clear"/>
            <w:tcMar>
              <w:top w:type="dxa" w:w="80"/>
              <w:left w:type="dxa" w:w="100"/>
              <w:bottom w:type="dxa" w:w="80"/>
              <w:right w:type="dxa" w:w="100"/>
            </w:tcMar>
            <w:vAlign w:val="center"/>
          </w:tcPr>
          <w:p>
            <w:pPr>
              <w:jc w:val="left"/>
            </w:pPr>
            <w:r>
              <w:rPr>
                <w:b/>
                <w:bCs/>
                <w:color w:val="262626"/>
                <w:sz w:val="19"/>
                <w:szCs w:val="19"/>
              </w:rPr>
              <w:t xml:space="preserve">"What would you do differently at 100x the scale?"</w:t>
            </w:r>
          </w:p>
        </w:tc>
        <w:tc>
          <w:tcPr>
            <w:tcW w:type="dxa" w:w="390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"I'd look at kernel-bypass networking and a ring-buffer-based dispatcher like LMAX's Disruptor instead of plain channels, plus geographic sharding — I read about that pattern while designing this, even though channels were the right call at this scale."</w:t>
            </w:r>
          </w:p>
        </w:tc>
        <w:tc>
          <w:tcPr>
            <w:tcW w:type="dxa" w:w="3060"/>
            <w:gridSpan w:val="1"/>
            <w:shd w:fill="F2F2F2" w:color="auto" w:val="clear"/>
            <w:tcMar>
              <w:top w:type="dxa" w:w="80"/>
              <w:left w:type="dxa" w:w="100"/>
              <w:bottom w:type="dxa" w:w="80"/>
              <w:right w:type="dxa" w:w="100"/>
            </w:tcMar>
            <w:vAlign w:val="center"/>
          </w:tcPr>
          <w:p>
            <w:pPr>
              <w:jc w:val="left"/>
            </w:pPr>
            <w:r>
              <w:rPr>
                <w:b w:val="false"/>
                <w:bCs w:val="false"/>
                <w:color w:val="262626"/>
                <w:sz w:val="19"/>
                <w:szCs w:val="19"/>
              </w:rPr>
              <w:t xml:space="preserve">Researched the Disruptor pattern in Phase 0, and can reason about the next step up.</w:t>
            </w:r>
          </w:p>
        </w:tc>
      </w:tr>
    </w:tbl>
    <w:p>
      <w:r>
        <w:br w:type="page"/>
      </w:r>
    </w:p>
    <w:p>
      <w:pPr>
        <w:pStyle w:val="Heading1"/>
        <w:pBdr>
          <w:bottom w:val="single" w:color="2E74B5" w:sz="8" w:space="4"/>
        </w:pBdr>
        <w:spacing w:after="160" w:before="360"/>
      </w:pPr>
      <w:r>
        <w:rPr>
          <w:b/>
          <w:bCs/>
          <w:color w:val="1F3864"/>
          <w:sz w:val="30"/>
          <w:szCs w:val="30"/>
        </w:rPr>
        <w:t xml:space="preserve">How This Fits Alongside the Main Roadmap</w:t>
      </w:r>
    </w:p>
    <w:p>
      <w:pPr>
        <w:spacing w:after="160" w:line="276"/>
      </w:pPr>
      <w:r>
        <w:rPr>
          <w:color w:val="262626"/>
          <w:sz w:val="21"/>
          <w:szCs w:val="21"/>
        </w:rPr>
        <w:t xml:space="preserve">The main roadmap already runs 4-6 hrs/day, 6 days a week. Don't add a second full-time track on top of it — instead:</w:t>
      </w:r>
    </w:p>
    <w:p>
      <w:pPr>
        <w:pStyle w:val="ListParagraph"/>
        <w:numPr>
          <w:ilvl w:val="0"/>
          <w:numId w:val="2"/>
        </w:numPr>
        <w:spacing w:after="80"/>
      </w:pPr>
      <w:r>
        <w:rPr>
          <w:color w:val="262626"/>
          <w:sz w:val="21"/>
          <w:szCs w:val="21"/>
        </w:rPr>
        <w:t xml:space="preserve">Weeks 1-2: this replaces the "warm-up drill" deliverable in the main roadmap's Week 1-2 table — you're already doing goroutine/channel practice, just aim it at this project instead of a throwaway exercise.</w:t>
      </w:r>
    </w:p>
    <w:p>
      <w:pPr>
        <w:pStyle w:val="ListParagraph"/>
        <w:numPr>
          <w:ilvl w:val="0"/>
          <w:numId w:val="2"/>
        </w:numPr>
        <w:spacing w:after="80"/>
      </w:pPr>
      <w:r>
        <w:rPr>
          <w:color w:val="262626"/>
          <w:sz w:val="21"/>
          <w:szCs w:val="21"/>
        </w:rPr>
        <w:t xml:space="preserve">Weeks 3-18: budget roughly 1-1.5 extra hrs on 3-4 weekdays, plus a longer 3-4 hr session on one weekend day — about 6-8 hrs/week on top of the main track.</w:t>
      </w:r>
    </w:p>
    <w:p>
      <w:pPr>
        <w:pStyle w:val="ListParagraph"/>
        <w:numPr>
          <w:ilvl w:val="0"/>
          <w:numId w:val="2"/>
        </w:numPr>
        <w:spacing w:after="80"/>
      </w:pPr>
      <w:r>
        <w:rPr>
          <w:color w:val="262626"/>
          <w:sz w:val="21"/>
          <w:szCs w:val="21"/>
        </w:rPr>
        <w:t xml:space="preserve">Heavier phases (3 and 6 — persistence/replay, and observability/load-testing) are naturally weekend-sized; lighter phases (4, the API/WebSocket layer) fit fine into weekday evenings.</w:t>
      </w:r>
    </w:p>
    <w:p>
      <w:pPr>
        <w:pStyle w:val="ListParagraph"/>
        <w:numPr>
          <w:ilvl w:val="0"/>
          <w:numId w:val="2"/>
        </w:numPr>
        <w:spacing w:after="80"/>
      </w:pPr>
      <w:r>
        <w:rPr>
          <w:color w:val="262626"/>
          <w:sz w:val="21"/>
          <w:szCs w:val="21"/>
        </w:rPr>
        <w:t xml:space="preserve">Phase 7 (Weeks 19-24) is explicitly a stretch phase — if the main roadmap's Conduit capstone work is eating all your time by Month 5, it's fine to pause this project at Phase 6 with a fully working, tested, observable matching engine. That alone is a complete, interview-ready project.</w:t>
      </w:r>
    </w:p>
    <w:p>
      <w:r>
        <w:br w:type="page"/>
      </w:r>
    </w:p>
    <w:p>
      <w:pPr>
        <w:pStyle w:val="Heading1"/>
        <w:pBdr>
          <w:bottom w:val="single" w:color="2E74B5" w:sz="8" w:space="4"/>
        </w:pBdr>
        <w:spacing w:after="160" w:before="360"/>
      </w:pPr>
      <w:r>
        <w:rPr>
          <w:b/>
          <w:bCs/>
          <w:color w:val="1F3864"/>
          <w:sz w:val="30"/>
          <w:szCs w:val="30"/>
        </w:rPr>
        <w:t xml:space="preserve">Resources</w:t>
      </w:r>
    </w:p>
    <w:p>
      <w:pPr>
        <w:spacing w:after="80" w:before="200"/>
      </w:pPr>
      <w:r>
        <w:rPr>
          <w:b/>
          <w:bCs/>
          <w:color w:val="1F3864"/>
          <w:sz w:val="22"/>
          <w:szCs w:val="22"/>
        </w:rPr>
        <w:t xml:space="preserve">Foundational reading</w:t>
      </w:r>
    </w:p>
    <w:p>
      <w:pPr>
        <w:pStyle w:val="ListParagraph"/>
        <w:numPr>
          <w:ilvl w:val="0"/>
          <w:numId w:val="2"/>
        </w:numPr>
        <w:spacing w:after="80"/>
      </w:pPr>
      <w:r>
        <w:rPr>
          <w:color w:val="262626"/>
          <w:sz w:val="21"/>
          <w:szCs w:val="21"/>
        </w:rPr>
        <w:t xml:space="preserve">"The LMAX Architecture" — Martin Fowler (martinfowler.com/articles/lmax.html) — read this before Phase 0; it's the canonical reference for this whole design.</w:t>
      </w:r>
    </w:p>
    <w:p>
      <w:pPr>
        <w:pStyle w:val="ListParagraph"/>
        <w:numPr>
          <w:ilvl w:val="0"/>
          <w:numId w:val="2"/>
        </w:numPr>
        <w:spacing w:after="80"/>
      </w:pPr>
      <w:r>
        <w:rPr>
          <w:color w:val="262626"/>
          <w:sz w:val="21"/>
          <w:szCs w:val="21"/>
        </w:rPr>
        <w:t xml:space="preserve">LMAX Disruptor User Guide (lmax-exchange.github.io/disruptor) — for the ring-buffer/single-writer pattern referenced in the "scale it further" interview answer.</w:t>
      </w:r>
    </w:p>
    <w:p>
      <w:pPr>
        <w:pStyle w:val="ListParagraph"/>
        <w:numPr>
          <w:ilvl w:val="0"/>
          <w:numId w:val="2"/>
        </w:numPr>
        <w:spacing w:after="80"/>
      </w:pPr>
      <w:r>
        <w:rPr>
          <w:color w:val="262626"/>
          <w:sz w:val="21"/>
          <w:szCs w:val="21"/>
        </w:rPr>
        <w:t xml:space="preserve">"The Order Matching Engine: Price-Time Priority, Order Books, and Throughput Optimization" (Medium, Hossein Nejati Javaremi) — a clear walkthrough of the exact matching algorithm you'll implement.</w:t>
      </w:r>
    </w:p>
    <w:p>
      <w:pPr>
        <w:spacing w:after="80" w:before="200"/>
      </w:pPr>
      <w:r>
        <w:rPr>
          <w:b/>
          <w:bCs/>
          <w:color w:val="1F3864"/>
          <w:sz w:val="22"/>
          <w:szCs w:val="22"/>
        </w:rPr>
        <w:t xml:space="preserve">Go reference implementations (read after you've built your own — don't copy first)</w:t>
      </w:r>
    </w:p>
    <w:p>
      <w:pPr>
        <w:pStyle w:val="ListParagraph"/>
        <w:numPr>
          <w:ilvl w:val="0"/>
          <w:numId w:val="2"/>
        </w:numPr>
        <w:spacing w:after="80"/>
      </w:pPr>
      <w:r>
        <w:rPr>
          <w:color w:val="262626"/>
          <w:sz w:val="21"/>
          <w:szCs w:val="21"/>
        </w:rPr>
        <w:t xml:space="preserve">github.com/0x5487/matching-engine — a high-performance in-memory Go matching engine; good for comparing design choices once yours works.</w:t>
      </w:r>
    </w:p>
    <w:p>
      <w:pPr>
        <w:pStyle w:val="ListParagraph"/>
        <w:numPr>
          <w:ilvl w:val="0"/>
          <w:numId w:val="2"/>
        </w:numPr>
        <w:spacing w:after="80"/>
      </w:pPr>
      <w:r>
        <w:rPr>
          <w:color w:val="262626"/>
          <w:sz w:val="21"/>
          <w:szCs w:val="21"/>
        </w:rPr>
        <w:t xml:space="preserve">github.com/makersu/go-exchange-matching and github.com/victorlaiyeeteng/crypto-exchange — smaller, simpler reference points for a first pass.</w:t>
      </w:r>
    </w:p>
    <w:p>
      <w:pPr>
        <w:spacing w:after="80" w:before="200"/>
      </w:pPr>
      <w:r>
        <w:rPr>
          <w:b/>
          <w:bCs/>
          <w:color w:val="1F3864"/>
          <w:sz w:val="22"/>
          <w:szCs w:val="22"/>
        </w:rPr>
        <w:t xml:space="preserve">From your main roadmap — reuse, don't rebuild</w:t>
      </w:r>
    </w:p>
    <w:p>
      <w:pPr>
        <w:pStyle w:val="ListParagraph"/>
        <w:numPr>
          <w:ilvl w:val="0"/>
          <w:numId w:val="2"/>
        </w:numPr>
        <w:spacing w:after="80"/>
      </w:pPr>
      <w:r>
        <w:rPr>
          <w:color w:val="262626"/>
          <w:sz w:val="21"/>
          <w:szCs w:val="21"/>
        </w:rPr>
        <w:t xml:space="preserve">Conduit's Auth Service (Week 3) — reuse it directly for this project's JWT auth in Phase 4.</w:t>
      </w:r>
    </w:p>
    <w:p>
      <w:pPr>
        <w:pStyle w:val="ListParagraph"/>
        <w:numPr>
          <w:ilvl w:val="0"/>
          <w:numId w:val="2"/>
        </w:numPr>
        <w:spacing w:after="80"/>
      </w:pPr>
      <w:r>
        <w:rPr>
          <w:color w:val="262626"/>
          <w:sz w:val="21"/>
          <w:szCs w:val="21"/>
        </w:rPr>
        <w:t xml:space="preserve">Your Month 5 observability stack (OpenTelemetry, Prometheus, Grafana) — apply the identical setup here in Phase 6, it's the same skill, a different workload shape.</w:t>
      </w:r>
    </w:p>
    <w:p>
      <w:pPr>
        <w:pStyle w:val="ListParagraph"/>
        <w:numPr>
          <w:ilvl w:val="0"/>
          <w:numId w:val="2"/>
        </w:numPr>
        <w:spacing w:after="80"/>
      </w:pPr>
      <w:r>
        <w:rPr>
          <w:color w:val="262626"/>
          <w:sz w:val="21"/>
          <w:szCs w:val="21"/>
        </w:rPr>
        <w:t xml:space="preserve">Kafka from Conduit's event bus (Week 10) — reuse it for the Phase 7 candle-aggregation service.</w:t>
      </w:r>
    </w:p>
    <w:p>
      <w:r>
        <w:br w:type="page"/>
      </w:r>
    </w:p>
    <w:p>
      <w:pPr>
        <w:pStyle w:val="Heading1"/>
        <w:pBdr>
          <w:bottom w:val="single" w:color="2E74B5" w:sz="8" w:space="4"/>
        </w:pBdr>
        <w:spacing w:after="160" w:before="360"/>
      </w:pPr>
      <w:r>
        <w:rPr>
          <w:b/>
          <w:bCs/>
          <w:color w:val="1F3864"/>
          <w:sz w:val="30"/>
          <w:szCs w:val="30"/>
        </w:rPr>
        <w:t xml:space="preserve">Final Checklist</w:t>
      </w:r>
    </w:p>
    <w:p>
      <w:pPr>
        <w:pStyle w:val="ListParagraph"/>
        <w:numPr>
          <w:ilvl w:val="0"/>
          <w:numId w:val="2"/>
        </w:numPr>
        <w:spacing w:after="80"/>
      </w:pPr>
      <w:r>
        <w:rPr>
          <w:color w:val="262626"/>
          <w:sz w:val="21"/>
          <w:szCs w:val="21"/>
        </w:rPr>
        <w:t xml:space="preserve">Matching engine is single-threaded per symbol via a channel-based sequencer — no locks on the hot path.</w:t>
      </w:r>
    </w:p>
    <w:p>
      <w:pPr>
        <w:pStyle w:val="ListParagraph"/>
        <w:numPr>
          <w:ilvl w:val="0"/>
          <w:numId w:val="2"/>
        </w:numPr>
        <w:spacing w:after="80"/>
      </w:pPr>
      <w:r>
        <w:rPr>
          <w:color w:val="262626"/>
          <w:sz w:val="21"/>
          <w:szCs w:val="21"/>
        </w:rPr>
        <w:t xml:space="preserve">You can kill the process mid-run and it recovers to an identical state by replaying its event log.</w:t>
      </w:r>
    </w:p>
    <w:p>
      <w:pPr>
        <w:pStyle w:val="ListParagraph"/>
        <w:numPr>
          <w:ilvl w:val="0"/>
          <w:numId w:val="2"/>
        </w:numPr>
        <w:spacing w:after="80"/>
      </w:pPr>
      <w:r>
        <w:rPr>
          <w:color w:val="262626"/>
          <w:sz w:val="21"/>
          <w:szCs w:val="21"/>
        </w:rPr>
        <w:t xml:space="preserve">You have at least one property-based/invariant test that has actually caught a real bug — and you can describe the bug.</w:t>
      </w:r>
    </w:p>
    <w:p>
      <w:pPr>
        <w:pStyle w:val="ListParagraph"/>
        <w:numPr>
          <w:ilvl w:val="0"/>
          <w:numId w:val="2"/>
        </w:numPr>
        <w:spacing w:after="80"/>
      </w:pPr>
      <w:r>
        <w:rPr>
          <w:color w:val="262626"/>
          <w:sz w:val="21"/>
          <w:szCs w:val="21"/>
        </w:rPr>
        <w:t xml:space="preserve">You have real p50/p99 latency numbers from a k6 load test, visible in a Grafana dashboard.</w:t>
      </w:r>
    </w:p>
    <w:p>
      <w:pPr>
        <w:pStyle w:val="ListParagraph"/>
        <w:numPr>
          <w:ilvl w:val="0"/>
          <w:numId w:val="2"/>
        </w:numPr>
        <w:spacing w:after="80"/>
      </w:pPr>
      <w:r>
        <w:rPr>
          <w:color w:val="262626"/>
          <w:sz w:val="21"/>
          <w:szCs w:val="21"/>
        </w:rPr>
        <w:t xml:space="preserve">Balances are tracked via double-entry ledger entries that always reconcile — no balance is ever just an integer you increment.</w:t>
      </w:r>
    </w:p>
    <w:p>
      <w:pPr>
        <w:pStyle w:val="ListParagraph"/>
        <w:numPr>
          <w:ilvl w:val="0"/>
          <w:numId w:val="2"/>
        </w:numPr>
        <w:spacing w:after="80"/>
      </w:pPr>
      <w:r>
        <w:rPr>
          <w:color w:val="262626"/>
          <w:sz w:val="21"/>
          <w:szCs w:val="21"/>
        </w:rPr>
        <w:t xml:space="preserve">You can explain, without notes, why you chose channels over mutexes for the matching core.</w:t>
      </w:r>
    </w:p>
    <w:p>
      <w:pPr>
        <w:pStyle w:val="ListParagraph"/>
        <w:numPr>
          <w:ilvl w:val="0"/>
          <w:numId w:val="2"/>
        </w:numPr>
        <w:spacing w:after="80"/>
      </w:pPr>
      <w:r>
        <w:rPr>
          <w:color w:val="262626"/>
          <w:sz w:val="21"/>
          <w:szCs w:val="21"/>
        </w:rPr>
        <w:t xml:space="preserve">You've read at least one real reference implementation and can name one thing you did differently and why.</w:t>
      </w:r>
    </w:p>
    <w:p>
      <w:pPr>
        <w:spacing w:after="160" w:line="276"/>
      </w:pPr>
      <w:r>
        <w:rPr>
          <w:i/>
          <w:iCs/>
          <w:color w:val="595959"/>
          <w:sz w:val="21"/>
          <w:szCs w:val="21"/>
        </w:rPr>
        <w:t xml:space="preserve">This project is deliberately hard. That's the point — it's the difference between "I can build an API" and "I can build the part of the system where a bug means someone's money is wrong," and that difference is exactly what gets noticed in a Go backend interview.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E9E9E"/>
        <w:sz w:val="16"/>
        <w:szCs w:val="16"/>
      </w:rPr>
      <w:t xml:space="preserve">Page </w:t>
    </w:r>
    <w:r>
      <w:rPr>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E9E9E"/>
        <w:sz w:val="16"/>
        <w:szCs w:val="16"/>
      </w:rPr>
      <w:t xml:space="preserve">Companion Project — Centralized Exchange (CEX) in 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2026-07-17T09:58:42.424Z</dcterms:created>
  <dcterms:modified xsi:type="dcterms:W3CDTF">2026-07-17T09:58:42.424Z</dcterms:modified>
</cp:coreProperties>
</file>

<file path=docProps/custom.xml><?xml version="1.0" encoding="utf-8"?>
<Properties xmlns="http://schemas.openxmlformats.org/officeDocument/2006/custom-properties" xmlns:vt="http://schemas.openxmlformats.org/officeDocument/2006/docPropsVTypes"/>
</file>