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center"/>
        <w:rPr/>
      </w:pPr>
      <w:r>
        <w:rPr/>
        <w:t>AUTOPSY REPORT</w:t>
      </w:r>
    </w:p>
    <w:p>
      <w:pPr>
        <w:pStyle w:val="HorizontalLine"/>
        <w:suppressLineNumbers/>
        <w:pBdr>
          <w:bottom w:val="double" w:sz="2" w:space="0" w:color="808080"/>
        </w:pBdr>
        <w:bidi w:val="0"/>
        <w:spacing w:before="0" w:after="283"/>
        <w:jc w:val="start"/>
        <w:rPr/>
      </w:pPr>
      <w:r>
        <w:rPr/>
      </w:r>
    </w:p>
    <w:p>
      <w:pPr>
        <w:pStyle w:val="TextBody"/>
        <w:bidi w:val="0"/>
        <w:spacing w:lineRule="auto" w:line="276" w:before="0" w:after="140"/>
        <w:jc w:val="start"/>
        <w:rPr/>
      </w:pPr>
      <w:r>
        <w:rPr>
          <w:rStyle w:val="StrongEmphasis"/>
        </w:rPr>
        <w:t>To:</w:t>
      </w:r>
      <w:r>
        <w:rPr/>
        <w:t xml:space="preserve"> Mr. Aravind K</w:t>
        <w:br/>
      </w:r>
      <w:r>
        <w:rPr>
          <w:rStyle w:val="StrongEmphasis"/>
        </w:rPr>
        <w:t>From:</w:t>
      </w:r>
      <w:r>
        <w:rPr/>
        <w:t xml:space="preserve"> Dr. David Fleming</w:t>
        <w:br/>
      </w:r>
      <w:r>
        <w:rPr>
          <w:rStyle w:val="StrongEmphasis"/>
        </w:rPr>
        <w:t>Re:</w:t>
      </w:r>
      <w:r>
        <w:rPr/>
        <w:t xml:space="preserve"> </w:t>
      </w:r>
      <w:r>
        <w:rPr/>
        <w:t>P</w:t>
      </w:r>
      <w:r>
        <w:rPr/>
        <w:t xml:space="preserve">riya </w:t>
      </w:r>
      <w:r>
        <w:rPr/>
        <w:t>A</w:t>
      </w:r>
      <w:r>
        <w:rPr/>
        <w:t>: Examination of Remains. Case #0000</w:t>
      </w:r>
      <w:r>
        <w:rPr/>
        <w:t>4</w:t>
      </w:r>
      <w:r>
        <w:rPr/>
        <w:br/>
      </w:r>
      <w:r>
        <w:rPr>
          <w:rStyle w:val="StrongEmphasis"/>
        </w:rPr>
        <w:t>Date:</w:t>
      </w:r>
      <w:r>
        <w:rPr/>
        <w:t xml:space="preserve"> May 9, 2019</w:t>
      </w:r>
    </w:p>
    <w:p>
      <w:pPr>
        <w:pStyle w:val="HorizontalLine"/>
        <w:suppressLineNumbers/>
        <w:pBdr>
          <w:bottom w:val="double" w:sz="2" w:space="0" w:color="808080"/>
        </w:pBdr>
        <w:bidi w:val="0"/>
        <w:spacing w:before="0" w:after="283"/>
        <w:jc w:val="start"/>
        <w:rPr/>
      </w:pPr>
      <w:r>
        <w:rPr/>
      </w:r>
    </w:p>
    <w:p>
      <w:pPr>
        <w:pStyle w:val="TextBody"/>
        <w:bidi w:val="0"/>
        <w:jc w:val="start"/>
        <w:rPr/>
      </w:pPr>
      <w:r>
        <w:rPr>
          <w:rStyle w:val="StrongEmphasis"/>
        </w:rPr>
        <w:t>Introduction:</w:t>
      </w:r>
      <w:r>
        <w:rPr/>
        <w:br/>
        <w:t>On the 12th of May, 2019, at approximately 11:30 AM, the remains of Priya Dinesh, a 35-year-old female, were received for examination at the forensic lab. The body was discovered at Elliot Beach, without the head. An autopsy was conducted to determine the cause and manner of death and to analyze any forensic evidence that might assist in the ongoing investigation.</w:t>
      </w:r>
    </w:p>
    <w:p>
      <w:pPr>
        <w:pStyle w:val="TextBody"/>
        <w:bidi w:val="0"/>
        <w:spacing w:lineRule="auto" w:line="276" w:before="0" w:after="140"/>
        <w:jc w:val="start"/>
        <w:rPr/>
      </w:pPr>
      <w:r>
        <w:rPr>
          <w:rStyle w:val="StrongEmphasis"/>
        </w:rPr>
        <w:t>External Examination:</w:t>
      </w:r>
      <w:r>
        <w:rPr/>
        <w:br/>
        <w:t>The external examination revealed a body with extensive trauma and dismemberment. The decedent's torso and limbs were intact, but the head was missing. The remaining body showed signs of sharp force injuries, including deep lacerations and abrasions. The skin exhibited several cuts, particularly on the arms and abdomen, indicating the use of a sharp instrument. The absence of the head is a significant aspect of the case, suggesting a deliberate act of mutilation intended to obstruct identification.</w:t>
      </w:r>
    </w:p>
    <w:p>
      <w:pPr>
        <w:pStyle w:val="TextBody"/>
        <w:bidi w:val="0"/>
        <w:spacing w:lineRule="auto" w:line="276" w:before="0" w:after="140"/>
        <w:jc w:val="start"/>
        <w:rPr/>
      </w:pPr>
      <w:r>
        <w:rPr>
          <w:rStyle w:val="StrongEmphasis"/>
        </w:rPr>
        <w:t>Detailed Findings:</w:t>
      </w:r>
    </w:p>
    <w:p>
      <w:pPr>
        <w:pStyle w:val="TextBody"/>
        <w:numPr>
          <w:ilvl w:val="0"/>
          <w:numId w:val="1"/>
        </w:numPr>
        <w:tabs>
          <w:tab w:val="clear" w:pos="709"/>
          <w:tab w:val="left" w:pos="709" w:leader="none"/>
        </w:tabs>
        <w:bidi w:val="0"/>
        <w:spacing w:before="0" w:after="0"/>
        <w:ind w:start="709" w:hanging="283"/>
        <w:jc w:val="start"/>
        <w:rPr/>
      </w:pPr>
      <w:r>
        <w:rPr>
          <w:rStyle w:val="StrongEmphasis"/>
        </w:rPr>
        <w:t>Lacerations:</w:t>
      </w:r>
      <w:r>
        <w:rPr/>
        <w:t xml:space="preserve"> Numerous deep lacerations were observed on the arms, particularly the left arm, which had a distinctive mole noted for identification. The cuts were consistent with a serrated or jagged instrument.</w:t>
      </w:r>
    </w:p>
    <w:p>
      <w:pPr>
        <w:pStyle w:val="TextBody"/>
        <w:numPr>
          <w:ilvl w:val="0"/>
          <w:numId w:val="1"/>
        </w:numPr>
        <w:tabs>
          <w:tab w:val="clear" w:pos="709"/>
          <w:tab w:val="left" w:pos="709" w:leader="none"/>
        </w:tabs>
        <w:bidi w:val="0"/>
        <w:spacing w:before="0" w:after="0"/>
        <w:ind w:start="709" w:hanging="283"/>
        <w:jc w:val="start"/>
        <w:rPr/>
      </w:pPr>
      <w:r>
        <w:rPr>
          <w:rStyle w:val="StrongEmphasis"/>
        </w:rPr>
        <w:t>Bruises and Contusions:</w:t>
      </w:r>
      <w:r>
        <w:rPr/>
        <w:t xml:space="preserve"> Multiple bruises and contusions were present on the torso, including the ribcage and abdomen, indicating blunt force trauma. These injuries were consistent with a violent assault before death.</w:t>
      </w:r>
    </w:p>
    <w:p>
      <w:pPr>
        <w:pStyle w:val="TextBody"/>
        <w:numPr>
          <w:ilvl w:val="0"/>
          <w:numId w:val="1"/>
        </w:numPr>
        <w:tabs>
          <w:tab w:val="clear" w:pos="709"/>
          <w:tab w:val="left" w:pos="709" w:leader="none"/>
        </w:tabs>
        <w:bidi w:val="0"/>
        <w:ind w:start="709" w:hanging="283"/>
        <w:jc w:val="start"/>
        <w:rPr/>
      </w:pPr>
      <w:r>
        <w:rPr>
          <w:rStyle w:val="StrongEmphasis"/>
        </w:rPr>
        <w:t>Missing Head:</w:t>
      </w:r>
      <w:r>
        <w:rPr/>
        <w:t xml:space="preserve"> The head was not recovered at the scene. The neck showed clean cuts, suggesting that decapitation was carried out with precision, possibly using a sharp blade.</w:t>
      </w:r>
    </w:p>
    <w:p>
      <w:pPr>
        <w:pStyle w:val="TextBody"/>
        <w:bidi w:val="0"/>
        <w:jc w:val="start"/>
        <w:rPr/>
      </w:pPr>
      <w:r>
        <w:rPr>
          <w:rStyle w:val="StrongEmphasis"/>
        </w:rPr>
        <w:t>Internal Examination:</w:t>
      </w:r>
      <w:r>
        <w:rPr/>
        <w:br/>
        <w:t>Due to the condition of the remains, a limited internal examination was performed. The absence of the head complicated the examination, but trauma consistent with previous cases was evident on the torso and limbs.</w:t>
      </w:r>
    </w:p>
    <w:p>
      <w:pPr>
        <w:pStyle w:val="TextBody"/>
        <w:numPr>
          <w:ilvl w:val="0"/>
          <w:numId w:val="2"/>
        </w:numPr>
        <w:tabs>
          <w:tab w:val="clear" w:pos="709"/>
          <w:tab w:val="left" w:pos="709" w:leader="none"/>
        </w:tabs>
        <w:bidi w:val="0"/>
        <w:spacing w:before="0" w:after="0"/>
        <w:ind w:start="709" w:hanging="283"/>
        <w:jc w:val="start"/>
        <w:rPr/>
      </w:pPr>
      <w:r>
        <w:rPr>
          <w:rStyle w:val="StrongEmphasis"/>
        </w:rPr>
        <w:t>Thoracic Cavity:</w:t>
      </w:r>
      <w:r>
        <w:rPr/>
        <w:t xml:space="preserve"> The examination of the thoracic cavity revealed extensive hemorrhage in the chest area, indicating severe blunt force trauma. No foreign objects were found within the cavity.</w:t>
      </w:r>
    </w:p>
    <w:p>
      <w:pPr>
        <w:pStyle w:val="TextBody"/>
        <w:numPr>
          <w:ilvl w:val="0"/>
          <w:numId w:val="2"/>
        </w:numPr>
        <w:tabs>
          <w:tab w:val="clear" w:pos="709"/>
          <w:tab w:val="left" w:pos="709" w:leader="none"/>
        </w:tabs>
        <w:bidi w:val="0"/>
        <w:ind w:start="709" w:hanging="283"/>
        <w:jc w:val="start"/>
        <w:rPr/>
      </w:pPr>
      <w:r>
        <w:rPr>
          <w:rStyle w:val="StrongEmphasis"/>
        </w:rPr>
        <w:t>Abdominal Cavity:</w:t>
      </w:r>
      <w:r>
        <w:rPr/>
        <w:t xml:space="preserve"> The abdominal cavity exhibited signs of internal bleeding, with bruising on the liver and spleen, consistent with the reported external trauma. No additional injuries or foreign matter were detected within the abdominal organs.</w:t>
      </w:r>
    </w:p>
    <w:p>
      <w:pPr>
        <w:pStyle w:val="TextBody"/>
        <w:bidi w:val="0"/>
        <w:jc w:val="start"/>
        <w:rPr/>
      </w:pPr>
      <w:r>
        <w:rPr>
          <w:rStyle w:val="StrongEmphasis"/>
        </w:rPr>
        <w:t>Toxicology:</w:t>
      </w:r>
      <w:r>
        <w:rPr/>
        <w:br/>
        <w:t>Toxicological analysis was performed on tissue samples from the body. The results indicated no presence of narcotics, alcohol, or sedatives. The absence of intoxicants suggests that the victim was conscious and fully aware during the assault.</w:t>
      </w:r>
    </w:p>
    <w:p>
      <w:pPr>
        <w:pStyle w:val="TextBody"/>
        <w:bidi w:val="0"/>
        <w:spacing w:lineRule="auto" w:line="276" w:before="0" w:after="140"/>
        <w:jc w:val="start"/>
        <w:rPr/>
      </w:pPr>
      <w:r>
        <w:rPr>
          <w:rStyle w:val="StrongEmphasis"/>
        </w:rPr>
        <w:t>Skeletal Assessment:</w:t>
      </w:r>
      <w:r>
        <w:rPr/>
        <w:br/>
        <w:t>The skeletal remains of the body, while not entirely visible due to the missing head, showed multiple fractures and signs of blunt force trauma. Fractures along the ribcage and extremities were consistent with a forceful impact. These injuries were indicative of a violent and targeted assault.</w:t>
      </w:r>
    </w:p>
    <w:p>
      <w:pPr>
        <w:pStyle w:val="TextBody"/>
        <w:bidi w:val="0"/>
        <w:spacing w:lineRule="auto" w:line="276" w:before="0" w:after="140"/>
        <w:jc w:val="start"/>
        <w:rPr/>
      </w:pPr>
      <w:r>
        <w:rPr>
          <w:rStyle w:val="StrongEmphasis"/>
        </w:rPr>
        <w:t>Analysis:</w:t>
      </w:r>
      <w:r>
        <w:rPr/>
        <w:br/>
        <w:t>The evidence collected from Priya Dinesh's remains indicates a highly violent and deliberate assault, followed by decapitation and mutilation. The nature of the injuries suggests a targeted attack with the intent to kill and then disfigure the body to obstruct identification and potentially convey a specific message. The absence of the head aligns with patterns observed in previous cases, suggesting a deliberate attempt to hinder identification and create fear.</w:t>
      </w:r>
    </w:p>
    <w:p>
      <w:pPr>
        <w:pStyle w:val="TextBody"/>
        <w:bidi w:val="0"/>
        <w:spacing w:lineRule="auto" w:line="276" w:before="0" w:after="140"/>
        <w:jc w:val="start"/>
        <w:rPr/>
      </w:pPr>
      <w:r>
        <w:rPr>
          <w:rStyle w:val="StrongEmphasis"/>
        </w:rPr>
        <w:t>Expert Opinion:</w:t>
      </w:r>
      <w:r>
        <w:rPr/>
        <w:br/>
        <w:t>Based on the forensic evidence, it is the expert opinion of this team that Priya Dinesh was the victim of a premeditated and brutal homicide. The extensive trauma and subsequent decapitation were carried out with significant force and intent. The act of removing the head suggests an effort to obstruct identification and convey a psychological message. The case shares similarities with previous incidents, indicating a possible pattern of behavior by the perpetrator. Further investigation is required to connect this murder to other cases and to identify the individuals responsible for this heinous crime.</w:t>
      </w:r>
    </w:p>
    <w:p>
      <w:pPr>
        <w:pStyle w:val="TextBody"/>
        <w:bidi w:val="0"/>
        <w:jc w:val="start"/>
        <w:rPr/>
      </w:pPr>
      <w:r>
        <w:rPr/>
      </w:r>
    </w:p>
    <w:p>
      <w:pPr>
        <w:pStyle w:val="HorizontalLine"/>
        <w:bidi w:val="0"/>
        <w:jc w:val="start"/>
        <w:rPr/>
      </w:pPr>
      <w:r>
        <w:rPr/>
      </w:r>
    </w:p>
    <w:p>
      <w:pPr>
        <w:pStyle w:val="TextBody"/>
        <w:bidi w:val="0"/>
        <w:spacing w:lineRule="auto" w:line="276" w:before="0" w:after="140"/>
        <w:jc w:val="start"/>
        <w:rPr/>
      </w:pPr>
      <w:r>
        <w:rPr>
          <w:rStyle w:val="StrongEmphasis"/>
        </w:rPr>
        <w:t>Dr. David Fleming</w:t>
      </w:r>
      <w:r>
        <w:rPr/>
        <w:br/>
        <w:t>Forensic Pathologist</w:t>
        <w:br/>
        <w:t>Madras Medical College</w:t>
        <w:br/>
        <w:t>Poonamallee High Rd, Park Town,</w:t>
        <w:br/>
        <w:t>Chennai, Tamil Nadu 600003</w:t>
      </w:r>
    </w:p>
    <w:p>
      <w:pPr>
        <w:pStyle w:val="Normal"/>
        <w:suppressLineNumbers/>
        <w:pBdr>
          <w:bottom w:val="single" w:sz="12" w:space="1" w:color="000000"/>
        </w:pBdr>
        <w:bidi w:val="0"/>
        <w:spacing w:before="0" w:after="283"/>
        <w:jc w:val="start"/>
        <w:rPr>
          <w:rFonts w:ascii="Arial" w:hAnsi="Arial" w:cs="Arial"/>
          <w:b/>
          <w:b/>
          <w:sz w:val="36"/>
          <w:szCs w:val="36"/>
          <w:u w:val="single"/>
        </w:rPr>
      </w:pPr>
      <w:r>
        <w:rPr>
          <w:rFonts w:cs="Arial" w:ascii="Arial" w:hAnsi="Arial"/>
          <w:b/>
          <w:sz w:val="36"/>
          <w:szCs w:val="36"/>
          <w:u w:val="single"/>
        </w:rPr>
      </w:r>
    </w:p>
    <w:p>
      <w:pPr>
        <w:pStyle w:val="Normal"/>
        <w:bidi w:val="0"/>
        <w:jc w:val="start"/>
        <w:rPr>
          <w:rStyle w:val="StrongEmphasis"/>
          <w:rFonts w:ascii="Arial" w:hAnsi="Arial" w:cs="Arial"/>
          <w:b/>
          <w:b/>
          <w:sz w:val="36"/>
          <w:szCs w:val="36"/>
          <w:u w:val="single"/>
        </w:rPr>
      </w:pPr>
      <w:r>
        <w:rPr>
          <w:rFonts w:cs="Arial" w:ascii="Arial" w:hAnsi="Arial"/>
          <w:b/>
          <w:sz w:val="36"/>
          <w:szCs w:val="36"/>
          <w:u w:val="single"/>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626</Words>
  <Characters>3504</Characters>
  <CharactersWithSpaces>4109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2024-08-08T22:32:15Z</dcterms:modified>
  <cp:revision>1</cp:revision>
  <dc:subject/>
  <dc:title/>
</cp:coreProperties>
</file>