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5" w:after="0"/>
        <w:ind w:left="0" w:right="0" w:hanging="0"/>
        <w:rPr>
          <w:sz w:val="2"/>
        </w:rPr>
      </w:pPr>
      <w:r>
        <w:rPr>
          <w:sz w:val="2"/>
        </w:rPr>
      </w:r>
    </w:p>
    <w:tbl>
      <w:tblPr>
        <w:tblW w:w="10801" w:type="dxa"/>
        <w:jc w:val="left"/>
        <w:tblInd w:w="130" w:type="dxa"/>
        <w:tblLayout w:type="fixed"/>
        <w:tblCellMar>
          <w:top w:w="0" w:type="dxa"/>
          <w:left w:w="10" w:type="dxa"/>
          <w:bottom w:w="0" w:type="dxa"/>
          <w:right w:w="0" w:type="dxa"/>
        </w:tblCellMar>
        <w:tblLook w:val="01e0"/>
      </w:tblPr>
      <w:tblGrid>
        <w:gridCol w:w="3781"/>
        <w:gridCol w:w="3494"/>
        <w:gridCol w:w="3526"/>
      </w:tblGrid>
      <w:tr>
        <w:trPr>
          <w:trHeight w:val="918" w:hRule="atLeast"/>
        </w:trPr>
        <w:tc>
          <w:tcPr>
            <w:tcW w:w="3781" w:type="dxa"/>
            <w:tcBorders>
              <w:top w:val="single" w:sz="8" w:space="0" w:color="010101"/>
              <w:left w:val="single" w:sz="8" w:space="0" w:color="010101"/>
            </w:tcBorders>
            <w:shd w:color="auto" w:fill="D3D3D3" w:val="clear"/>
          </w:tcPr>
          <w:p>
            <w:pPr>
              <w:pStyle w:val="TableParagraph"/>
              <w:widowControl w:val="false"/>
              <w:spacing w:lineRule="exact" w:line="229" w:before="0" w:after="0"/>
              <w:ind w:left="39" w:right="0" w:hanging="0"/>
              <w:rPr>
                <w:b/>
                <w:b/>
                <w:sz w:val="20"/>
              </w:rPr>
            </w:pPr>
            <w:r>
              <w:rPr>
                <w:b/>
                <w:spacing w:val="-2"/>
                <w:sz w:val="20"/>
              </w:rPr>
              <w:t>J 6 Police Station,</w:t>
            </w:r>
          </w:p>
          <w:p>
            <w:pPr>
              <w:pStyle w:val="TableParagraph"/>
              <w:widowControl w:val="false"/>
              <w:spacing w:lineRule="exact" w:line="229" w:before="0" w:after="0"/>
              <w:ind w:left="39" w:right="0" w:hanging="0"/>
              <w:rPr>
                <w:b/>
                <w:b/>
                <w:sz w:val="20"/>
              </w:rPr>
            </w:pPr>
            <w:r>
              <w:rPr>
                <w:b/>
                <w:spacing w:val="-2"/>
                <w:sz w:val="20"/>
              </w:rPr>
              <w:t>X7M6+Q9X, Sannadi St,</w:t>
            </w:r>
          </w:p>
          <w:p>
            <w:pPr>
              <w:pStyle w:val="TableParagraph"/>
              <w:widowControl w:val="false"/>
              <w:spacing w:lineRule="exact" w:line="229" w:before="0" w:after="0"/>
              <w:ind w:left="39" w:right="0" w:hanging="0"/>
              <w:rPr>
                <w:b/>
                <w:b/>
                <w:sz w:val="20"/>
              </w:rPr>
            </w:pPr>
            <w:r>
              <w:rPr>
                <w:b/>
                <w:spacing w:val="-2"/>
                <w:sz w:val="20"/>
              </w:rPr>
              <w:t>Lalitha Nagar, Thiruvanmiyur, Chennai, Tamil Nadu 600041</w:t>
            </w:r>
          </w:p>
        </w:tc>
        <w:tc>
          <w:tcPr>
            <w:tcW w:w="3494" w:type="dxa"/>
            <w:tcBorders>
              <w:top w:val="single" w:sz="8" w:space="0" w:color="010101"/>
            </w:tcBorders>
            <w:shd w:color="auto" w:fill="D3D3D3" w:val="clear"/>
          </w:tcPr>
          <w:p>
            <w:pPr>
              <w:pStyle w:val="TableParagraph"/>
              <w:widowControl w:val="false"/>
              <w:tabs>
                <w:tab w:val="clear" w:pos="720"/>
                <w:tab w:val="left" w:pos="3388" w:leader="none"/>
              </w:tabs>
              <w:spacing w:before="26" w:after="0"/>
              <w:ind w:left="1644" w:right="0" w:hanging="0"/>
              <w:rPr>
                <w:sz w:val="20"/>
              </w:rPr>
            </w:pPr>
            <w:r>
              <w:rPr>
                <w:b/>
                <w:sz w:val="20"/>
              </w:rPr>
              <w:t>Case</w:t>
            </w:r>
            <w:r>
              <w:rPr>
                <w:b/>
                <w:spacing w:val="-2"/>
                <w:sz w:val="20"/>
              </w:rPr>
              <w:t xml:space="preserve"> Number</w:t>
            </w:r>
            <w:r>
              <w:rPr>
                <w:b/>
                <w:sz w:val="20"/>
              </w:rPr>
              <w:tab/>
            </w:r>
            <w:r>
              <w:rPr>
                <w:spacing w:val="-10"/>
                <w:sz w:val="20"/>
              </w:rPr>
              <w:t>:</w:t>
            </w:r>
          </w:p>
          <w:p>
            <w:pPr>
              <w:pStyle w:val="TableParagraph"/>
              <w:widowControl w:val="false"/>
              <w:tabs>
                <w:tab w:val="clear" w:pos="720"/>
                <w:tab w:val="left" w:pos="3388" w:leader="none"/>
              </w:tabs>
              <w:spacing w:before="81" w:after="0"/>
              <w:ind w:left="1644" w:right="0" w:hanging="0"/>
              <w:rPr>
                <w:sz w:val="20"/>
              </w:rPr>
            </w:pPr>
            <w:r>
              <w:rPr>
                <w:b/>
                <w:spacing w:val="-2"/>
                <w:sz w:val="20"/>
              </w:rPr>
              <w:t>Investigator</w:t>
            </w:r>
            <w:r>
              <w:rPr>
                <w:b/>
                <w:sz w:val="20"/>
              </w:rPr>
              <w:tab/>
            </w:r>
            <w:r>
              <w:rPr>
                <w:spacing w:val="-10"/>
                <w:sz w:val="20"/>
              </w:rPr>
              <w:t>:</w:t>
            </w:r>
          </w:p>
          <w:p>
            <w:pPr>
              <w:pStyle w:val="TableParagraph"/>
              <w:widowControl w:val="false"/>
              <w:tabs>
                <w:tab w:val="clear" w:pos="720"/>
                <w:tab w:val="left" w:pos="3388" w:leader="none"/>
              </w:tabs>
              <w:spacing w:before="80" w:after="0"/>
              <w:ind w:left="1644" w:right="0" w:hanging="0"/>
              <w:rPr>
                <w:sz w:val="20"/>
              </w:rPr>
            </w:pPr>
            <w:r>
              <w:rPr>
                <w:b/>
                <w:sz w:val="20"/>
              </w:rPr>
              <w:t>Date</w:t>
            </w:r>
            <w:r>
              <w:rPr>
                <w:b/>
                <w:spacing w:val="-2"/>
                <w:sz w:val="20"/>
              </w:rPr>
              <w:t xml:space="preserve"> </w:t>
            </w:r>
            <w:r>
              <w:rPr>
                <w:b/>
                <w:sz w:val="20"/>
              </w:rPr>
              <w:t>of</w:t>
            </w:r>
            <w:r>
              <w:rPr>
                <w:b/>
                <w:spacing w:val="-3"/>
                <w:sz w:val="20"/>
              </w:rPr>
              <w:t xml:space="preserve"> </w:t>
            </w:r>
            <w:r>
              <w:rPr>
                <w:b/>
                <w:spacing w:val="-2"/>
                <w:sz w:val="20"/>
              </w:rPr>
              <w:t>Death</w:t>
            </w:r>
            <w:r>
              <w:rPr>
                <w:b/>
                <w:sz w:val="20"/>
              </w:rPr>
              <w:tab/>
            </w:r>
            <w:r>
              <w:rPr>
                <w:spacing w:val="-10"/>
                <w:sz w:val="20"/>
              </w:rPr>
              <w:t>:</w:t>
            </w:r>
          </w:p>
        </w:tc>
        <w:tc>
          <w:tcPr>
            <w:tcW w:w="3526" w:type="dxa"/>
            <w:tcBorders>
              <w:top w:val="single" w:sz="8" w:space="0" w:color="010101"/>
              <w:right w:val="single" w:sz="8" w:space="0" w:color="010101"/>
            </w:tcBorders>
            <w:shd w:color="auto" w:fill="D3D3D3" w:val="clear"/>
          </w:tcPr>
          <w:p>
            <w:pPr>
              <w:pStyle w:val="TableParagraph"/>
              <w:widowControl w:val="false"/>
              <w:spacing w:before="26" w:after="0"/>
              <w:ind w:left="72" w:right="0" w:hanging="0"/>
              <w:rPr>
                <w:b/>
                <w:b/>
                <w:sz w:val="20"/>
              </w:rPr>
            </w:pPr>
            <w:r>
              <w:rPr>
                <w:b/>
                <w:spacing w:val="-2"/>
                <w:sz w:val="20"/>
              </w:rPr>
              <w:t>00001</w:t>
            </w:r>
          </w:p>
          <w:p>
            <w:pPr>
              <w:pStyle w:val="TableParagraph"/>
              <w:widowControl w:val="false"/>
              <w:spacing w:lineRule="atLeast" w:line="310" w:before="1" w:after="0"/>
              <w:ind w:left="72" w:right="1883" w:hanging="0"/>
              <w:rPr>
                <w:b/>
                <w:b/>
                <w:sz w:val="20"/>
              </w:rPr>
            </w:pPr>
            <w:r>
              <w:rPr>
                <w:b/>
                <w:sz w:val="20"/>
              </w:rPr>
              <w:t>Aravind K.   31/4</w:t>
            </w:r>
            <w:r>
              <w:rPr>
                <w:b/>
                <w:spacing w:val="-2"/>
                <w:sz w:val="20"/>
              </w:rPr>
              <w:t>/2019</w:t>
            </w:r>
          </w:p>
        </w:tc>
      </w:tr>
      <w:tr>
        <w:trPr>
          <w:trHeight w:val="301" w:hRule="atLeast"/>
        </w:trPr>
        <w:tc>
          <w:tcPr>
            <w:tcW w:w="3781" w:type="dxa"/>
            <w:tcBorders>
              <w:left w:val="single" w:sz="8" w:space="0" w:color="010101"/>
              <w:bottom w:val="single" w:sz="8" w:space="0" w:color="010101"/>
            </w:tcBorders>
            <w:shd w:color="auto" w:fill="D3D3D3" w:val="clear"/>
          </w:tcPr>
          <w:p>
            <w:pPr>
              <w:pStyle w:val="TableParagraph"/>
              <w:widowControl w:val="false"/>
              <w:spacing w:before="37" w:after="0"/>
              <w:ind w:left="39" w:right="0" w:hanging="0"/>
              <w:rPr>
                <w:b/>
                <w:b/>
                <w:sz w:val="20"/>
              </w:rPr>
            </w:pPr>
            <w:r>
              <w:rPr>
                <w:b/>
                <w:sz w:val="20"/>
              </w:rPr>
            </w:r>
          </w:p>
        </w:tc>
        <w:tc>
          <w:tcPr>
            <w:tcW w:w="3494" w:type="dxa"/>
            <w:tcBorders>
              <w:bottom w:val="single" w:sz="8" w:space="0" w:color="010101"/>
            </w:tcBorders>
            <w:shd w:color="auto" w:fill="D3D3D3" w:val="clear"/>
          </w:tcPr>
          <w:p>
            <w:pPr>
              <w:pStyle w:val="TableParagraph"/>
              <w:widowControl w:val="false"/>
              <w:tabs>
                <w:tab w:val="clear" w:pos="720"/>
                <w:tab w:val="left" w:pos="3388" w:leader="none"/>
              </w:tabs>
              <w:spacing w:before="37" w:after="0"/>
              <w:ind w:left="1644" w:right="0" w:hanging="0"/>
              <w:rPr>
                <w:sz w:val="20"/>
              </w:rPr>
            </w:pPr>
            <w:r>
              <w:rPr>
                <w:b/>
                <w:sz w:val="20"/>
              </w:rPr>
              <w:t>Date</w:t>
            </w:r>
            <w:r>
              <w:rPr>
                <w:b/>
                <w:spacing w:val="-3"/>
                <w:sz w:val="20"/>
              </w:rPr>
              <w:t xml:space="preserve"> </w:t>
            </w:r>
            <w:r>
              <w:rPr>
                <w:b/>
                <w:spacing w:val="-2"/>
                <w:sz w:val="20"/>
              </w:rPr>
              <w:t>Today</w:t>
            </w:r>
            <w:r>
              <w:rPr>
                <w:b/>
                <w:sz w:val="20"/>
              </w:rPr>
              <w:tab/>
            </w:r>
            <w:r>
              <w:rPr>
                <w:spacing w:val="-10"/>
                <w:sz w:val="20"/>
              </w:rPr>
              <w:t>:</w:t>
            </w:r>
          </w:p>
        </w:tc>
        <w:tc>
          <w:tcPr>
            <w:tcW w:w="3526" w:type="dxa"/>
            <w:tcBorders>
              <w:bottom w:val="single" w:sz="8" w:space="0" w:color="010101"/>
              <w:right w:val="single" w:sz="8" w:space="0" w:color="010101"/>
            </w:tcBorders>
            <w:shd w:color="auto" w:fill="D3D3D3" w:val="clear"/>
          </w:tcPr>
          <w:p>
            <w:pPr>
              <w:pStyle w:val="TableParagraph"/>
              <w:widowControl w:val="false"/>
              <w:spacing w:before="37" w:after="0"/>
              <w:ind w:left="72" w:right="0" w:hanging="0"/>
              <w:rPr>
                <w:b/>
                <w:b/>
                <w:sz w:val="20"/>
              </w:rPr>
            </w:pPr>
            <w:r>
              <w:rPr>
                <w:b/>
                <w:spacing w:val="-2"/>
                <w:sz w:val="20"/>
              </w:rPr>
              <w:t>1/5/2019</w:t>
            </w:r>
          </w:p>
        </w:tc>
      </w:tr>
      <w:tr>
        <w:trPr>
          <w:trHeight w:val="577" w:hRule="atLeast"/>
        </w:trPr>
        <w:tc>
          <w:tcPr>
            <w:tcW w:w="3781" w:type="dxa"/>
            <w:tcBorders>
              <w:top w:val="single" w:sz="8" w:space="0" w:color="010101"/>
            </w:tcBorders>
          </w:tcPr>
          <w:p>
            <w:pPr>
              <w:pStyle w:val="TableParagraph"/>
              <w:widowControl w:val="false"/>
              <w:spacing w:before="0" w:after="0"/>
              <w:ind w:left="0" w:right="0" w:hanging="0"/>
              <w:rPr>
                <w:sz w:val="18"/>
              </w:rPr>
            </w:pPr>
            <w:r>
              <w:rPr>
                <w:sz w:val="18"/>
              </w:rPr>
            </w:r>
          </w:p>
        </w:tc>
        <w:tc>
          <w:tcPr>
            <w:tcW w:w="3494" w:type="dxa"/>
            <w:tcBorders>
              <w:top w:val="single" w:sz="8" w:space="0" w:color="010101"/>
            </w:tcBorders>
          </w:tcPr>
          <w:p>
            <w:pPr>
              <w:pStyle w:val="TableParagraph"/>
              <w:widowControl w:val="false"/>
              <w:spacing w:before="170" w:after="0"/>
              <w:ind w:left="370" w:right="0" w:hanging="0"/>
              <w:rPr>
                <w:b/>
                <w:b/>
                <w:sz w:val="20"/>
              </w:rPr>
            </w:pPr>
            <w:r>
              <w:rPr>
                <w:b/>
                <w:sz w:val="20"/>
              </w:rPr>
              <w:t>INVESTIGATION</w:t>
            </w:r>
            <w:r>
              <w:rPr>
                <w:b/>
                <w:spacing w:val="-6"/>
                <w:sz w:val="20"/>
              </w:rPr>
              <w:t xml:space="preserve"> </w:t>
            </w:r>
            <w:r>
              <w:rPr>
                <w:b/>
                <w:spacing w:val="-2"/>
                <w:sz w:val="20"/>
              </w:rPr>
              <w:t>REPORT</w:t>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r>
        <w:trPr>
          <w:trHeight w:val="698" w:hRule="atLeast"/>
        </w:trPr>
        <w:tc>
          <w:tcPr>
            <w:tcW w:w="3781" w:type="dxa"/>
            <w:tcBorders>
              <w:bottom w:val="single" w:sz="8" w:space="0" w:color="010101"/>
            </w:tcBorders>
          </w:tcPr>
          <w:p>
            <w:pPr>
              <w:pStyle w:val="TableParagraph"/>
              <w:widowControl w:val="false"/>
              <w:tabs>
                <w:tab w:val="clear" w:pos="720"/>
                <w:tab w:val="left" w:pos="1516" w:leader="none"/>
              </w:tabs>
              <w:spacing w:before="166" w:after="0"/>
              <w:ind w:left="49" w:right="0" w:hanging="0"/>
              <w:rPr>
                <w:b/>
                <w:b/>
                <w:sz w:val="24"/>
              </w:rPr>
            </w:pPr>
            <w:r>
              <w:rPr>
                <w:b/>
                <w:spacing w:val="-2"/>
                <w:sz w:val="24"/>
              </w:rPr>
              <w:t>Decedent:</w:t>
            </w:r>
            <w:r>
              <w:rPr>
                <w:b/>
                <w:sz w:val="24"/>
              </w:rPr>
              <w:tab/>
            </w:r>
            <w:r>
              <w:rPr>
                <w:b/>
                <w:spacing w:val="-2"/>
                <w:sz w:val="24"/>
              </w:rPr>
              <w:t>Not Found</w:t>
            </w:r>
          </w:p>
        </w:tc>
        <w:tc>
          <w:tcPr>
            <w:tcW w:w="3494" w:type="dxa"/>
            <w:tcBorders>
              <w:bottom w:val="single" w:sz="8" w:space="0" w:color="010101"/>
            </w:tcBorders>
          </w:tcPr>
          <w:p>
            <w:pPr>
              <w:pStyle w:val="TableParagraph"/>
              <w:widowControl w:val="false"/>
              <w:spacing w:before="0" w:after="0"/>
              <w:ind w:left="0" w:right="0" w:hanging="0"/>
              <w:rPr>
                <w:sz w:val="18"/>
              </w:rPr>
            </w:pPr>
            <w:r>
              <w:rPr>
                <w:sz w:val="18"/>
              </w:rPr>
            </w:r>
          </w:p>
        </w:tc>
        <w:tc>
          <w:tcPr>
            <w:tcW w:w="3526" w:type="dxa"/>
            <w:tcBorders>
              <w:bottom w:val="single" w:sz="8" w:space="0" w:color="010101"/>
            </w:tcBorders>
          </w:tcPr>
          <w:p>
            <w:pPr>
              <w:pStyle w:val="TableParagraph"/>
              <w:widowControl w:val="false"/>
              <w:spacing w:before="166" w:after="0"/>
              <w:ind w:left="0" w:right="28" w:hanging="0"/>
              <w:jc w:val="right"/>
              <w:rPr>
                <w:b/>
                <w:b/>
                <w:sz w:val="24"/>
              </w:rPr>
            </w:pPr>
            <w:r>
              <w:rPr>
                <w:b/>
                <w:spacing w:val="-2"/>
                <w:sz w:val="24"/>
              </w:rPr>
              <w:t>00001</w:t>
            </w:r>
          </w:p>
        </w:tc>
      </w:tr>
      <w:tr>
        <w:trPr>
          <w:trHeight w:val="543" w:hRule="atLeast"/>
        </w:trPr>
        <w:tc>
          <w:tcPr>
            <w:tcW w:w="3781" w:type="dxa"/>
            <w:tcBorders>
              <w:top w:val="single" w:sz="8" w:space="0" w:color="010101"/>
            </w:tcBorders>
          </w:tcPr>
          <w:p>
            <w:pPr>
              <w:pStyle w:val="TableParagraph"/>
              <w:widowControl w:val="false"/>
              <w:spacing w:before="83" w:after="0"/>
              <w:ind w:left="0" w:right="0" w:hanging="0"/>
              <w:rPr>
                <w:sz w:val="20"/>
              </w:rPr>
            </w:pPr>
            <w:r>
              <w:rPr>
                <w:sz w:val="20"/>
              </w:rPr>
            </w:r>
          </w:p>
          <w:p>
            <w:pPr>
              <w:pStyle w:val="TableParagraph"/>
              <w:widowControl w:val="false"/>
              <w:spacing w:lineRule="exact" w:line="210" w:before="0" w:after="0"/>
              <w:ind w:left="49" w:right="0" w:hanging="0"/>
              <w:rPr>
                <w:b/>
                <w:b/>
                <w:sz w:val="20"/>
              </w:rPr>
            </w:pPr>
            <w:r>
              <w:rPr>
                <w:b/>
                <w:spacing w:val="-2"/>
                <w:sz w:val="20"/>
              </w:rPr>
              <w:t>SYNOPSIS</w:t>
            </w:r>
          </w:p>
        </w:tc>
        <w:tc>
          <w:tcPr>
            <w:tcW w:w="3494" w:type="dxa"/>
            <w:tcBorders>
              <w:top w:val="single" w:sz="8" w:space="0" w:color="010101"/>
            </w:tcBorders>
          </w:tcPr>
          <w:p>
            <w:pPr>
              <w:pStyle w:val="TableParagraph"/>
              <w:widowControl w:val="false"/>
              <w:spacing w:before="0" w:after="0"/>
              <w:ind w:left="0" w:right="0" w:hanging="0"/>
              <w:rPr>
                <w:sz w:val="18"/>
              </w:rPr>
            </w:pPr>
            <w:r>
              <w:rPr>
                <w:sz w:val="18"/>
              </w:rPr>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bl>
    <w:p>
      <w:pPr>
        <w:pStyle w:val="TextBody"/>
        <w:spacing w:before="227" w:after="0"/>
        <w:rPr>
          <w:sz w:val="22"/>
          <w:szCs w:val="22"/>
        </w:rPr>
      </w:pPr>
      <w:r>
        <w:rPr>
          <w:sz w:val="22"/>
          <w:szCs w:val="22"/>
        </w:rPr>
        <w:t>The</w:t>
      </w:r>
      <w:r>
        <w:rPr>
          <w:spacing w:val="-2"/>
          <w:sz w:val="22"/>
          <w:szCs w:val="22"/>
        </w:rPr>
        <w:t xml:space="preserve"> </w:t>
      </w:r>
      <w:r>
        <w:rPr>
          <w:sz w:val="22"/>
          <w:szCs w:val="22"/>
        </w:rPr>
        <w:t>decedent</w:t>
      </w:r>
      <w:r>
        <w:rPr>
          <w:spacing w:val="-2"/>
          <w:sz w:val="22"/>
          <w:szCs w:val="22"/>
        </w:rPr>
        <w:t>’s body hasn’t been found in a manner in which identification is possible. The body was reported by a customer in Hotel AA Bhavan, Thiruvanmiyur branch, where she found a human finger in her meal. Following it, the whole body was found in multiple pieces inside a container in which beef biriyani was made on that day.</w:t>
      </w:r>
    </w:p>
    <w:p>
      <w:pPr>
        <w:pStyle w:val="TextBody"/>
        <w:spacing w:before="228" w:after="0"/>
        <w:ind w:left="0" w:right="0" w:hanging="0"/>
        <w:rPr/>
      </w:pPr>
      <w:r>
        <w:rPr>
          <w:rStyle w:val="StrongEmphasis"/>
          <w:sz w:val="22"/>
          <w:szCs w:val="22"/>
        </w:rPr>
        <w:t>DESCRIPTION OF INCIDENT</w:t>
      </w:r>
    </w:p>
    <w:p>
      <w:pPr>
        <w:pStyle w:val="TextBody"/>
        <w:spacing w:before="0" w:after="283"/>
        <w:rPr>
          <w:sz w:val="22"/>
          <w:szCs w:val="22"/>
        </w:rPr>
      </w:pPr>
      <w:r>
        <w:rPr>
          <w:sz w:val="22"/>
          <w:szCs w:val="22"/>
        </w:rPr>
        <w:t>On 31/04/19 at 1348 hours, the undersigned, Inspector Aravind K., received a call from the management of Hotel AA Bhavan, Thiruvanmiyur branch. The call reported the discovery of a human finger in a meal served to a customer. Upon further investigation by the hotel staff, a dismembered human body was found inside a large container used for preparing beef biryani.</w:t>
      </w:r>
    </w:p>
    <w:p>
      <w:pPr>
        <w:pStyle w:val="TextBody"/>
        <w:spacing w:before="0" w:after="283"/>
        <w:rPr>
          <w:sz w:val="22"/>
          <w:szCs w:val="22"/>
        </w:rPr>
      </w:pPr>
      <w:r>
        <w:rPr>
          <w:sz w:val="22"/>
          <w:szCs w:val="22"/>
        </w:rPr>
        <w:t>The undersigned informed the hotel management that an investigation team would be dispatched to the scene, and the remains would be transported to the Chennai Forensic Department for autopsy.</w:t>
      </w:r>
    </w:p>
    <w:p>
      <w:pPr>
        <w:pStyle w:val="TextBody"/>
        <w:spacing w:before="0" w:after="283"/>
        <w:rPr/>
      </w:pPr>
      <w:r>
        <w:rPr>
          <w:rStyle w:val="StrongEmphasis"/>
          <w:sz w:val="22"/>
          <w:szCs w:val="22"/>
        </w:rPr>
        <w:t>31/04/19 @ 1517 Hours</w:t>
      </w:r>
      <w:r>
        <w:rPr>
          <w:sz w:val="22"/>
          <w:szCs w:val="22"/>
        </w:rPr>
        <w:br/>
        <w:t>While on scene, the undersigned, Inspector Aravind K., documented the following information: The body was discovered in a severely mutilated state, making immediate identification impossible. The body was found dismembered into several pieces and stored inside a large cooking container that had been used for preparing beef biryani. The container also contained a significant amount of blood, along with meat, some of which was found in the decedent’s lungs during a preliminary examination.</w:t>
      </w:r>
    </w:p>
    <w:p>
      <w:pPr>
        <w:pStyle w:val="TextBody"/>
        <w:spacing w:before="0" w:after="283"/>
        <w:rPr>
          <w:sz w:val="22"/>
          <w:szCs w:val="22"/>
        </w:rPr>
      </w:pPr>
      <w:r>
        <w:rPr>
          <w:sz w:val="22"/>
          <w:szCs w:val="22"/>
        </w:rPr>
        <w:t>Multiple lacerations were noted on the body, with knife marks consistent with cuts made by a sharp object. Bloodstains from multiple individuals were found on the body, indicating the involvement of more than one person. The lungs of the decedent contained fluid and meat, suggesting that the individual may have been forcefully submerged or drowned before being dismembered.</w:t>
      </w:r>
    </w:p>
    <w:p>
      <w:pPr>
        <w:pStyle w:val="TextBody"/>
        <w:spacing w:before="0" w:after="283"/>
        <w:rPr/>
      </w:pPr>
      <w:r>
        <w:rPr>
          <w:rStyle w:val="StrongEmphasis"/>
          <w:sz w:val="22"/>
          <w:szCs w:val="22"/>
        </w:rPr>
        <w:t>SCENE VISIT</w:t>
      </w:r>
      <w:r>
        <w:rPr>
          <w:sz w:val="22"/>
          <w:szCs w:val="22"/>
        </w:rPr>
        <w:br/>
      </w:r>
      <w:r>
        <w:rPr>
          <w:rStyle w:val="StrongEmphasis"/>
          <w:sz w:val="22"/>
          <w:szCs w:val="22"/>
        </w:rPr>
        <w:t>31/04/19</w:t>
      </w:r>
    </w:p>
    <w:p>
      <w:pPr>
        <w:pStyle w:val="TextBody"/>
        <w:spacing w:before="0" w:after="283"/>
        <w:rPr>
          <w:sz w:val="22"/>
          <w:szCs w:val="22"/>
        </w:rPr>
      </w:pPr>
      <w:r>
        <w:rPr>
          <w:sz w:val="22"/>
          <w:szCs w:val="22"/>
        </w:rPr>
        <w:t>I arrived on the scene at 1517 hours and was greeted by the hotel management and the forensic team. The kitchen area was cordoned off for examination. The surroundings were chaotic, with traces of blood found leading from the kitchen to the container. The dismembered body was found inside the container, mixed with the ingredients used for preparing the biryani. The blood found in the container belonged to multiple individuals, raising the possibility of a group assault.</w:t>
      </w:r>
    </w:p>
    <w:p>
      <w:pPr>
        <w:pStyle w:val="TextBody"/>
        <w:spacing w:before="0" w:after="283"/>
        <w:rPr>
          <w:sz w:val="22"/>
          <w:szCs w:val="22"/>
        </w:rPr>
      </w:pPr>
      <w:r>
        <w:rPr>
          <w:sz w:val="22"/>
          <w:szCs w:val="22"/>
        </w:rPr>
        <w:t>The body was severely mutilated, with limbs showing signs of multiple sharp cuts. The head and torso were found in separate parts of the container. The body was cold to the touch, with rigor mortis fully developed. Lividity was consistent with drowning, and the body showed early signs of decomposition.</w:t>
      </w:r>
    </w:p>
    <w:p>
      <w:pPr>
        <w:pStyle w:val="TextBody"/>
        <w:spacing w:before="0" w:after="283"/>
        <w:rPr>
          <w:sz w:val="22"/>
          <w:szCs w:val="22"/>
        </w:rPr>
      </w:pPr>
      <w:r>
        <w:rPr>
          <w:sz w:val="22"/>
          <w:szCs w:val="22"/>
        </w:rPr>
        <w:t>The dismembered remains were retrieved and examined on-site before being transported. A knife with traces of blood from at least three other individuals was found in the kitchen and was collected as evidence. The knife was documented, inventoried, and placed in the evidence room at the police station.</w:t>
      </w:r>
    </w:p>
    <w:p>
      <w:pPr>
        <w:pStyle w:val="TextBody"/>
        <w:spacing w:before="0" w:after="283"/>
        <w:rPr>
          <w:sz w:val="22"/>
          <w:szCs w:val="22"/>
        </w:rPr>
      </w:pPr>
      <w:r>
        <w:rPr>
          <w:sz w:val="22"/>
          <w:szCs w:val="22"/>
        </w:rPr>
        <w:t>I pronounced the decedent deceased at 1530 hours. The remains were sealed with tag #0020983 at 1545 hours. The body was transported to the Chennai Forensic Department for autopsy.</w:t>
      </w:r>
    </w:p>
    <w:p>
      <w:pPr>
        <w:pStyle w:val="TextBody"/>
        <w:tabs>
          <w:tab w:val="clear" w:pos="720"/>
          <w:tab w:val="right" w:pos="10879" w:leader="none"/>
        </w:tabs>
        <w:spacing w:before="228" w:after="0"/>
        <w:ind w:left="159" w:right="0" w:hanging="0"/>
        <w:jc w:val="left"/>
        <w:rPr/>
      </w:pPr>
      <w:r>
        <w:rPr>
          <w:rStyle w:val="StrongEmphasis"/>
          <w:spacing w:val="-2"/>
          <w:sz w:val="22"/>
          <w:szCs w:val="22"/>
        </w:rPr>
        <w:t>SOCIAL HISTORY</w:t>
      </w:r>
      <w:r>
        <w:rPr>
          <w:spacing w:val="-2"/>
          <w:sz w:val="22"/>
          <w:szCs w:val="22"/>
        </w:rPr>
        <w:br/>
      </w:r>
      <w:r>
        <w:rPr>
          <w:rStyle w:val="StrongEmphasis"/>
          <w:spacing w:val="-2"/>
          <w:sz w:val="22"/>
          <w:szCs w:val="22"/>
        </w:rPr>
        <w:t>31/04/19</w:t>
      </w:r>
    </w:p>
    <w:p>
      <w:pPr>
        <w:pStyle w:val="TextBody"/>
        <w:spacing w:before="0" w:after="283"/>
        <w:rPr>
          <w:sz w:val="22"/>
          <w:szCs w:val="22"/>
        </w:rPr>
      </w:pPr>
      <w:r>
        <w:rPr>
          <w:sz w:val="22"/>
          <w:szCs w:val="22"/>
        </w:rPr>
        <w:t>Due to the condition of the body, no immediate social history or identification could be obtained. The investigation will focus on determining the identity of the decedent and any potential motives behind the crime.</w:t>
      </w:r>
    </w:p>
    <w:p>
      <w:pPr>
        <w:pStyle w:val="TextBody"/>
        <w:spacing w:before="0" w:after="283"/>
        <w:rPr/>
      </w:pPr>
      <w:r>
        <w:rPr>
          <w:rStyle w:val="StrongEmphasis"/>
          <w:sz w:val="22"/>
          <w:szCs w:val="22"/>
        </w:rPr>
        <w:t>FAMILY CONTACT INFORMATION</w:t>
      </w:r>
      <w:r>
        <w:rPr>
          <w:sz w:val="22"/>
          <w:szCs w:val="22"/>
        </w:rPr>
        <w:br/>
      </w:r>
      <w:r>
        <w:rPr>
          <w:rStyle w:val="StrongEmphasis"/>
          <w:sz w:val="22"/>
          <w:szCs w:val="22"/>
        </w:rPr>
        <w:t>31/04/19 @ 1600 Hours</w:t>
      </w:r>
    </w:p>
    <w:p>
      <w:pPr>
        <w:pStyle w:val="TextBody"/>
        <w:spacing w:before="0" w:after="283"/>
        <w:rPr>
          <w:sz w:val="22"/>
          <w:szCs w:val="22"/>
        </w:rPr>
      </w:pPr>
      <w:r>
        <w:rPr>
          <w:sz w:val="22"/>
          <w:szCs w:val="22"/>
        </w:rPr>
        <w:t>Inspector Aravind K. attempted to gather information regarding missing persons that could match the description of the decedent. As the body remains unidentified, no family contact has been established at this time. Further efforts will be made to cross-reference the physical attributes with missing persons reports.</w:t>
      </w:r>
    </w:p>
    <w:p>
      <w:pPr>
        <w:pStyle w:val="TextBody"/>
        <w:spacing w:before="0" w:after="283"/>
        <w:rPr/>
      </w:pPr>
      <w:r>
        <w:rPr>
          <w:rStyle w:val="StrongEmphasis"/>
          <w:sz w:val="22"/>
          <w:szCs w:val="22"/>
        </w:rPr>
        <w:t>DISPOSITION OF BODY</w:t>
      </w:r>
      <w:r>
        <w:rPr>
          <w:sz w:val="22"/>
          <w:szCs w:val="22"/>
        </w:rPr>
        <w:br/>
      </w:r>
      <w:r>
        <w:rPr>
          <w:rStyle w:val="StrongEmphasis"/>
          <w:sz w:val="22"/>
          <w:szCs w:val="22"/>
        </w:rPr>
        <w:t>31/04/19</w:t>
      </w:r>
    </w:p>
    <w:p>
      <w:pPr>
        <w:pStyle w:val="TextBody"/>
        <w:spacing w:before="0" w:after="283"/>
        <w:ind w:left="0" w:right="0" w:hanging="0"/>
        <w:rPr>
          <w:sz w:val="22"/>
          <w:szCs w:val="22"/>
        </w:rPr>
      </w:pPr>
      <w:r>
        <w:rPr>
          <w:sz w:val="22"/>
          <w:szCs w:val="22"/>
        </w:rPr>
        <w:t>The remains were transported to the Chennai Forensic Department for autopsy.</w:t>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TextBody"/>
        <w:spacing w:before="0" w:after="283"/>
        <w:ind w:left="0" w:right="0" w:hanging="0"/>
        <w:rPr>
          <w:sz w:val="22"/>
          <w:szCs w:val="22"/>
        </w:rPr>
      </w:pPr>
      <w:r>
        <w:rPr>
          <w:sz w:val="22"/>
          <w:szCs w:val="22"/>
        </w:rPr>
      </w:r>
    </w:p>
    <w:p>
      <w:pPr>
        <w:pStyle w:val="Normal"/>
        <w:tabs>
          <w:tab w:val="clear" w:pos="720"/>
          <w:tab w:val="left" w:pos="10112" w:leader="none"/>
        </w:tabs>
        <w:spacing w:before="80" w:after="0"/>
        <w:ind w:left="159" w:right="0" w:hanging="0"/>
        <w:jc w:val="left"/>
        <w:rPr>
          <w:sz w:val="2"/>
        </w:rPr>
      </w:pPr>
      <w:r>
        <w:rPr/>
      </w:r>
    </w:p>
    <w:sectPr>
      <w:footerReference w:type="default" r:id="rId2"/>
      <w:type w:val="nextPage"/>
      <w:pgSz w:w="12240" w:h="15840"/>
      <w:pgMar w:left="600" w:right="600" w:gutter="0" w:header="0" w:top="620" w:footer="769" w:bottom="9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ind w:left="0" w:right="0" w:hanging="0"/>
      <w:rPr/>
    </w:pPr>
    <w:r>
      <w:rPr/>
      <mc:AlternateContent>
        <mc:Choice Requires="wps">
          <w:drawing>
            <wp:anchor behindDoc="1" distT="0" distB="0" distL="0" distR="0" simplePos="0" locked="0" layoutInCell="0" allowOverlap="1" relativeHeight="6">
              <wp:simplePos x="0" y="0"/>
              <wp:positionH relativeFrom="page">
                <wp:posOffset>561340</wp:posOffset>
              </wp:positionH>
              <wp:positionV relativeFrom="page">
                <wp:posOffset>9430385</wp:posOffset>
              </wp:positionV>
              <wp:extent cx="2157095" cy="139065"/>
              <wp:effectExtent l="0" t="0" r="0" b="0"/>
              <wp:wrapNone/>
              <wp:docPr id="1" name="Textbox 1"/>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4590415</wp:posOffset>
              </wp:positionH>
              <wp:positionV relativeFrom="page">
                <wp:posOffset>9430385</wp:posOffset>
              </wp:positionV>
              <wp:extent cx="1339850" cy="139065"/>
              <wp:effectExtent l="0" t="0" r="0" b="0"/>
              <wp:wrapNone/>
              <wp:docPr id="3" name="Textbox 2"/>
              <a:graphic xmlns:a="http://schemas.openxmlformats.org/drawingml/2006/main">
                <a:graphicData uri="http://schemas.microsoft.com/office/word/2010/wordprocessingShape">
                  <wps:wsp>
                    <wps:cNvSpPr/>
                    <wps:spPr>
                      <a:xfrm>
                        <a:off x="0" y="0"/>
                        <a:ext cx="13399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61.45pt;margin-top:742.55pt;width:105.4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6342380</wp:posOffset>
              </wp:positionH>
              <wp:positionV relativeFrom="page">
                <wp:posOffset>9430385</wp:posOffset>
              </wp:positionV>
              <wp:extent cx="572770" cy="139065"/>
              <wp:effectExtent l="0" t="0" r="0" b="0"/>
              <wp:wrapNone/>
              <wp:docPr id="5" name="Textbox 3"/>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v:textbox>
              <w10:wrap type="none"/>
            </v:rect>
          </w:pict>
        </mc:Fallback>
      </mc:AlternateConten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1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3</Pages>
  <Words>648</Words>
  <Characters>3489</Characters>
  <CharactersWithSpaces>4105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2024-01-17T15:57:06Z</dcterms:created>
  <dc:creator>karendomagalski</dc:creator>
  <dc:description/>
  <dc:language>en-IN</dc:language>
  <cp:lastModifiedBy/>
  <dcterms:modified xsi:type="dcterms:W3CDTF">2024-08-08T17:40:47Z</dcterms:modified>
  <cp:revision>2</cp:revision>
  <dc:subject/>
  <dc:title>Investigation Narrative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PScript5.dll Version 5.2.2</vt:lpwstr>
  </property>
  <property fmtid="{D5CDD505-2E9C-101B-9397-08002B2CF9AE}" pid="4" name="LastSaved">
    <vt:filetime>2024-01-17T00:00:00Z</vt:filetime>
  </property>
  <property fmtid="{D5CDD505-2E9C-101B-9397-08002B2CF9AE}" pid="5" name="Producer">
    <vt:lpwstr>Acrobat Distiller 8.1.0 (Windows)</vt:lpwstr>
  </property>
</Properties>
</file>