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4"/>
        <w:gridCol w:w="3526"/>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4"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6"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w:t>
            </w:r>
            <w:r>
              <w:rPr>
                <w:b/>
                <w:spacing w:val="-2"/>
                <w:sz w:val="20"/>
              </w:rPr>
              <w:t>6</w:t>
            </w:r>
          </w:p>
          <w:p>
            <w:pPr>
              <w:pStyle w:val="TableParagraph"/>
              <w:widowControl w:val="false"/>
              <w:spacing w:lineRule="atLeast" w:line="310" w:before="1" w:after="0"/>
              <w:ind w:left="72" w:right="1883" w:hanging="0"/>
              <w:rPr>
                <w:b/>
                <w:b/>
                <w:sz w:val="20"/>
              </w:rPr>
            </w:pPr>
            <w:r>
              <w:rPr>
                <w:b/>
                <w:sz w:val="20"/>
              </w:rPr>
              <w:t>Aravind K</w:t>
            </w:r>
          </w:p>
          <w:p>
            <w:pPr>
              <w:pStyle w:val="TableParagraph"/>
              <w:widowControl w:val="false"/>
              <w:spacing w:lineRule="atLeast" w:line="310" w:before="1" w:after="0"/>
              <w:ind w:left="72" w:right="1883" w:hanging="0"/>
              <w:rPr>
                <w:b/>
                <w:b/>
                <w:sz w:val="20"/>
              </w:rPr>
            </w:pPr>
            <w:r>
              <w:rPr>
                <w:b/>
                <w:sz w:val="20"/>
              </w:rPr>
              <w:t>16</w:t>
            </w:r>
            <w:r>
              <w:rPr>
                <w:b/>
                <w:sz w:val="20"/>
              </w:rPr>
              <w:t>/</w:t>
            </w:r>
            <w:r>
              <w:rPr>
                <w:b/>
                <w:sz w:val="20"/>
              </w:rPr>
              <w:t>5</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4"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6"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1</w:t>
            </w:r>
            <w:r>
              <w:rPr>
                <w:b/>
                <w:spacing w:val="-2"/>
                <w:sz w:val="20"/>
              </w:rPr>
              <w:t>7</w:t>
            </w:r>
            <w:r>
              <w:rPr>
                <w:b/>
                <w:spacing w:val="-2"/>
                <w:sz w:val="20"/>
              </w:rPr>
              <w:t>/5/2019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4"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r>
            <w:r>
              <w:rPr>
                <w:b/>
                <w:spacing w:val="-2"/>
                <w:sz w:val="24"/>
              </w:rPr>
              <w:t>Not Found</w:t>
            </w:r>
          </w:p>
        </w:tc>
        <w:tc>
          <w:tcPr>
            <w:tcW w:w="3494" w:type="dxa"/>
            <w:tcBorders>
              <w:bottom w:val="single" w:sz="8" w:space="0" w:color="010101"/>
            </w:tcBorders>
          </w:tcPr>
          <w:p>
            <w:pPr>
              <w:pStyle w:val="TableParagraph"/>
              <w:widowControl w:val="false"/>
              <w:spacing w:before="0" w:after="0"/>
              <w:ind w:left="0" w:right="0" w:hanging="0"/>
              <w:rPr>
                <w:sz w:val="18"/>
              </w:rPr>
            </w:pPr>
            <w:r>
              <w:rPr>
                <w:sz w:val="18"/>
              </w:rPr>
            </w:r>
          </w:p>
        </w:tc>
        <w:tc>
          <w:tcPr>
            <w:tcW w:w="3526"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w:t>
            </w:r>
            <w:r>
              <w:rPr>
                <w:b/>
                <w:spacing w:val="-2"/>
                <w:sz w:val="24"/>
              </w:rPr>
              <w:t>6</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4" w:type="dxa"/>
            <w:tcBorders>
              <w:top w:val="single" w:sz="8" w:space="0" w:color="010101"/>
            </w:tcBorders>
          </w:tcPr>
          <w:p>
            <w:pPr>
              <w:pStyle w:val="TableParagraph"/>
              <w:widowControl w:val="false"/>
              <w:spacing w:before="0" w:after="0"/>
              <w:ind w:left="0" w:right="0" w:hanging="0"/>
              <w:rPr>
                <w:sz w:val="18"/>
              </w:rPr>
            </w:pPr>
            <w:r>
              <w:rPr>
                <w:sz w:val="18"/>
              </w:rPr>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sz w:val="22"/>
          <w:szCs w:val="22"/>
        </w:rPr>
      </w:pPr>
      <w:r>
        <w:rPr>
          <w:spacing w:val="-2"/>
          <w:sz w:val="22"/>
          <w:szCs w:val="22"/>
        </w:rPr>
        <w:t xml:space="preserve">On the morning of 16/05/2019, the dismembered body of an unidentified individual was discovered on the terrace of Detective Arjun’s residence in </w:t>
      </w:r>
      <w:r>
        <w:rPr>
          <w:spacing w:val="-2"/>
          <w:sz w:val="22"/>
          <w:szCs w:val="22"/>
        </w:rPr>
        <w:t>Nungambakkam</w:t>
      </w:r>
      <w:r>
        <w:rPr>
          <w:spacing w:val="-2"/>
          <w:sz w:val="22"/>
          <w:szCs w:val="22"/>
        </w:rPr>
        <w:t xml:space="preserve">. The decedent's head was missing, and the body had been cut into several pieces. The remains were found in a severely mutilated state, </w:t>
      </w:r>
      <w:r>
        <w:rPr>
          <w:spacing w:val="-2"/>
          <w:sz w:val="22"/>
          <w:szCs w:val="22"/>
        </w:rPr>
        <w:t xml:space="preserve">mixed with dried vegetables. </w:t>
      </w:r>
      <w:r>
        <w:rPr>
          <w:spacing w:val="-2"/>
          <w:sz w:val="22"/>
          <w:szCs w:val="22"/>
        </w:rPr>
        <w:t>The discovery was made by Anu, a resident of the house, who immediately reported it to the authorities. The investigation is ongoing to determine the identity of the decedent, the cause of death, and the motive behind the crime.</w:t>
      </w:r>
    </w:p>
    <w:p>
      <w:pPr>
        <w:pStyle w:val="Heading3"/>
        <w:rPr>
          <w:sz w:val="22"/>
          <w:szCs w:val="22"/>
        </w:rPr>
      </w:pPr>
      <w:r>
        <w:rPr/>
        <w:t>DESCRIPTION OF INCIDENT</w:t>
      </w:r>
    </w:p>
    <w:p>
      <w:pPr>
        <w:pStyle w:val="TextBody"/>
        <w:spacing w:before="0" w:after="283"/>
        <w:rPr>
          <w:sz w:val="22"/>
          <w:szCs w:val="22"/>
        </w:rPr>
      </w:pPr>
      <w:r>
        <w:rPr>
          <w:sz w:val="22"/>
          <w:szCs w:val="22"/>
        </w:rPr>
        <w:t>On 16/05/19 at 0745 hours, the undersigned, Inspector Aravind K., received an urgent call from Anu, a resident of Detective Arjun's house. She reported a suspicious container emitting a foul odor on the terrace of the residence. Upon arriving at the scene, the undersigned discovered a large container containing dismembered human remains. The body had been cut into multiple pieces, and the head was missing. The container was filled with water that had distinct traces of drainage, suggesting possible drowning or forced submersion before dismemberment.</w:t>
      </w:r>
    </w:p>
    <w:p>
      <w:pPr>
        <w:pStyle w:val="TextBody"/>
        <w:spacing w:before="0" w:after="283"/>
        <w:rPr>
          <w:sz w:val="22"/>
          <w:szCs w:val="22"/>
        </w:rPr>
      </w:pPr>
      <w:r>
        <w:rPr>
          <w:sz w:val="22"/>
          <w:szCs w:val="22"/>
        </w:rPr>
        <w:t>The state of the remains made immediate identification impossible. The body showed signs of severe mutilation, with lacerations consistent with cuts made by a sharp object. The limbs and torso were found separated, and the body had already begun to decompose. The presence of drainage water in the lungs indicated that the individual may have been submerged before being dismembered.</w:t>
      </w:r>
    </w:p>
    <w:p>
      <w:pPr>
        <w:pStyle w:val="Heading3"/>
        <w:rPr>
          <w:sz w:val="22"/>
          <w:szCs w:val="22"/>
        </w:rPr>
      </w:pPr>
      <w:r>
        <w:rPr>
          <w:sz w:val="22"/>
          <w:szCs w:val="22"/>
        </w:rPr>
        <w:t>SCENE VISIT</w:t>
      </w:r>
    </w:p>
    <w:p>
      <w:pPr>
        <w:pStyle w:val="TextBody"/>
        <w:spacing w:before="0" w:after="283"/>
        <w:rPr/>
      </w:pPr>
      <w:r>
        <w:rPr>
          <w:rStyle w:val="StrongEmphasis"/>
          <w:sz w:val="22"/>
          <w:szCs w:val="22"/>
        </w:rPr>
        <w:t>16/05/19</w:t>
      </w:r>
      <w:r>
        <w:rPr>
          <w:sz w:val="22"/>
          <w:szCs w:val="22"/>
        </w:rPr>
        <w:br/>
        <w:t xml:space="preserve">I arrived on the scene at 0815 hours, accompanied by the forensic team. The terrace was cordoned off for investigation. </w:t>
      </w:r>
      <w:r>
        <w:rPr>
          <w:sz w:val="22"/>
          <w:szCs w:val="22"/>
        </w:rPr>
        <w:t xml:space="preserve">The body was found in a sheet in the mid of terrace, along with dried vegetables. </w:t>
      </w:r>
      <w:r>
        <w:rPr>
          <w:sz w:val="22"/>
          <w:szCs w:val="22"/>
        </w:rPr>
        <w:t xml:space="preserve">The surroundings were examined, and </w:t>
      </w:r>
      <w:r>
        <w:rPr>
          <w:sz w:val="22"/>
          <w:szCs w:val="22"/>
        </w:rPr>
        <w:t>no traces of blood were found.</w:t>
      </w:r>
      <w:r>
        <w:rPr>
          <w:sz w:val="22"/>
          <w:szCs w:val="22"/>
        </w:rPr>
        <w:t xml:space="preserve"> </w:t>
      </w:r>
    </w:p>
    <w:p>
      <w:pPr>
        <w:pStyle w:val="TextBody"/>
        <w:spacing w:before="0" w:after="283"/>
        <w:rPr>
          <w:sz w:val="22"/>
          <w:szCs w:val="22"/>
        </w:rPr>
      </w:pPr>
      <w:r>
        <w:rPr>
          <w:sz w:val="22"/>
          <w:szCs w:val="22"/>
        </w:rPr>
        <w:t xml:space="preserve">The dismembered body was found </w:t>
      </w:r>
      <w:r>
        <w:rPr>
          <w:sz w:val="22"/>
          <w:szCs w:val="22"/>
        </w:rPr>
        <w:t>on the sheet</w:t>
      </w:r>
      <w:r>
        <w:rPr>
          <w:sz w:val="22"/>
          <w:szCs w:val="22"/>
        </w:rPr>
        <w:t xml:space="preserve">, with the torso and limbs separated and showing signs of multiple sharp cuts. The head was missing, making identification difficult. The body was cold to the touch, with rigor mortis fully developed, and early signs of decomposition were present. </w:t>
      </w:r>
    </w:p>
    <w:p>
      <w:pPr>
        <w:pStyle w:val="TextBody"/>
        <w:spacing w:before="0" w:after="283"/>
        <w:rPr>
          <w:sz w:val="22"/>
          <w:szCs w:val="22"/>
        </w:rPr>
      </w:pPr>
      <w:r>
        <w:rPr>
          <w:sz w:val="22"/>
          <w:szCs w:val="22"/>
        </w:rPr>
        <w:t xml:space="preserve">A thorough search of the area was conducted, but no additional evidence, such as the missing head or any potential murder weapons, was found on the terrace. The </w:t>
      </w:r>
      <w:r>
        <w:rPr>
          <w:sz w:val="22"/>
          <w:szCs w:val="22"/>
        </w:rPr>
        <w:t>sheet</w:t>
      </w:r>
      <w:r>
        <w:rPr>
          <w:sz w:val="22"/>
          <w:szCs w:val="22"/>
        </w:rPr>
        <w:t xml:space="preserve"> along with its contents, was documented and prepared for transportation to the Chennai Forensic Department.</w:t>
      </w:r>
    </w:p>
    <w:p>
      <w:pPr>
        <w:pStyle w:val="TextBody"/>
        <w:spacing w:before="0" w:after="283"/>
        <w:rPr>
          <w:sz w:val="22"/>
          <w:szCs w:val="22"/>
        </w:rPr>
      </w:pPr>
      <w:r>
        <w:rPr>
          <w:sz w:val="22"/>
          <w:szCs w:val="22"/>
        </w:rPr>
        <w:t>I pronounced the decedent deceased at 0830 hours. The remains were sealed with tag #0020995 at 0900 hours and transported to the Chennai Forensic Department for autopsy.</w:t>
      </w:r>
    </w:p>
    <w:p>
      <w:pPr>
        <w:pStyle w:val="TextBody"/>
        <w:spacing w:before="0" w:after="283"/>
        <w:rPr>
          <w:sz w:val="22"/>
          <w:szCs w:val="22"/>
        </w:rPr>
      </w:pPr>
      <w:r>
        <w:rPr>
          <w:sz w:val="22"/>
          <w:szCs w:val="22"/>
        </w:rPr>
      </w:r>
    </w:p>
    <w:p>
      <w:pPr>
        <w:pStyle w:val="TextBody"/>
        <w:spacing w:before="0" w:after="283"/>
        <w:rPr>
          <w:sz w:val="22"/>
          <w:szCs w:val="22"/>
        </w:rPr>
      </w:pPr>
      <w:r>
        <w:rPr>
          <w:sz w:val="22"/>
          <w:szCs w:val="22"/>
        </w:rPr>
      </w:r>
    </w:p>
    <w:p>
      <w:pPr>
        <w:pStyle w:val="TextBody"/>
        <w:spacing w:before="0" w:after="283"/>
        <w:rPr>
          <w:sz w:val="22"/>
          <w:szCs w:val="22"/>
        </w:rPr>
      </w:pPr>
      <w:r>
        <w:rPr>
          <w:sz w:val="22"/>
          <w:szCs w:val="22"/>
        </w:rPr>
      </w:r>
    </w:p>
    <w:p>
      <w:pPr>
        <w:pStyle w:val="Heading3"/>
        <w:rPr>
          <w:sz w:val="22"/>
          <w:szCs w:val="22"/>
        </w:rPr>
      </w:pPr>
      <w:r>
        <w:rPr>
          <w:sz w:val="22"/>
          <w:szCs w:val="22"/>
        </w:rPr>
        <w:t>SOCIAL HISTORY</w:t>
      </w:r>
    </w:p>
    <w:p>
      <w:pPr>
        <w:pStyle w:val="TextBody"/>
        <w:spacing w:before="0" w:after="283"/>
        <w:rPr/>
      </w:pPr>
      <w:r>
        <w:rPr>
          <w:rStyle w:val="StrongEmphasis"/>
          <w:sz w:val="22"/>
          <w:szCs w:val="22"/>
        </w:rPr>
        <w:t>16/05/19</w:t>
      </w:r>
      <w:r>
        <w:rPr>
          <w:sz w:val="22"/>
          <w:szCs w:val="22"/>
        </w:rPr>
        <w:br/>
        <w:t>Due to the condition of the body and the absence of the head, no immediate social history or identification could be obtained. The investigation will focus on identifying the decedent through forensic analysis and cross-referencing missing persons reports. Additional inquiries will be made regarding any suspicious activities or individuals in the vicinity of Detective Arjun's residence prior to the discovery.</w:t>
      </w:r>
    </w:p>
    <w:p>
      <w:pPr>
        <w:pStyle w:val="Heading3"/>
        <w:rPr>
          <w:sz w:val="22"/>
          <w:szCs w:val="22"/>
        </w:rPr>
      </w:pPr>
      <w:r>
        <w:rPr>
          <w:sz w:val="22"/>
          <w:szCs w:val="22"/>
        </w:rPr>
        <w:t>FAMILY CONTACT INFORMATION</w:t>
      </w:r>
    </w:p>
    <w:p>
      <w:pPr>
        <w:pStyle w:val="TextBody"/>
        <w:spacing w:before="0" w:after="283"/>
        <w:rPr/>
      </w:pPr>
      <w:r>
        <w:rPr>
          <w:rStyle w:val="StrongEmphasis"/>
          <w:sz w:val="22"/>
          <w:szCs w:val="22"/>
        </w:rPr>
        <w:t>16/05/19 @ 0930 Hours</w:t>
      </w:r>
      <w:r>
        <w:rPr>
          <w:sz w:val="22"/>
          <w:szCs w:val="22"/>
        </w:rPr>
        <w:br/>
        <w:t xml:space="preserve">Inspector Aravind K. </w:t>
      </w:r>
      <w:r>
        <w:rPr>
          <w:sz w:val="22"/>
          <w:szCs w:val="22"/>
        </w:rPr>
        <w:t xml:space="preserve">along with Private Detective Arjun </w:t>
      </w:r>
      <w:r>
        <w:rPr>
          <w:sz w:val="22"/>
          <w:szCs w:val="22"/>
        </w:rPr>
        <w:t>is working on gathering information regarding any recent missing persons that could match the description of the decedent. As the body remains unidentified, no family contact has been established at this time. Efforts are ongoing to cross-reference physical characteristics with existing missing persons reports and to contact any potential witnesses in the area.</w:t>
      </w:r>
    </w:p>
    <w:p>
      <w:pPr>
        <w:pStyle w:val="Heading3"/>
        <w:rPr>
          <w:sz w:val="22"/>
          <w:szCs w:val="22"/>
        </w:rPr>
      </w:pPr>
      <w:r>
        <w:rPr>
          <w:sz w:val="22"/>
          <w:szCs w:val="22"/>
        </w:rPr>
        <w:t>DISPOSITION OF BODY</w:t>
      </w:r>
    </w:p>
    <w:p>
      <w:pPr>
        <w:pStyle w:val="TextBody"/>
        <w:spacing w:before="0" w:after="283"/>
        <w:rPr/>
      </w:pPr>
      <w:r>
        <w:rPr>
          <w:rStyle w:val="StrongEmphasis"/>
          <w:sz w:val="22"/>
          <w:szCs w:val="22"/>
        </w:rPr>
        <w:t>16/05/19</w:t>
      </w:r>
      <w:r>
        <w:rPr>
          <w:sz w:val="22"/>
          <w:szCs w:val="22"/>
        </w:rPr>
        <w:br/>
        <w:t>The remains were transported to the Chennai Forensic Department for autopsy and further examination. The investigation team is actively working to identify the decedent and uncover the circumstances surrounding this gruesome crime.</w:t>
      </w:r>
    </w:p>
    <w:p>
      <w:pPr>
        <w:pStyle w:val="TextBody"/>
        <w:spacing w:before="227" w:after="0"/>
        <w:rPr>
          <w:sz w:val="22"/>
          <w:szCs w:val="22"/>
        </w:rPr>
      </w:pPr>
      <w:r>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Normal"/>
        <w:tabs>
          <w:tab w:val="clear" w:pos="720"/>
          <w:tab w:val="left" w:pos="10112" w:leader="none"/>
        </w:tabs>
        <w:spacing w:before="80" w:after="0"/>
        <w:ind w:left="159" w:right="0" w:hanging="0"/>
        <w:jc w:val="left"/>
        <w:rPr>
          <w:sz w:val="2"/>
        </w:rPr>
      </w:pPr>
      <w:r>
        <w:rPr/>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6">
              <wp:simplePos x="0" y="0"/>
              <wp:positionH relativeFrom="page">
                <wp:posOffset>561340</wp:posOffset>
              </wp:positionH>
              <wp:positionV relativeFrom="page">
                <wp:posOffset>9430385</wp:posOffset>
              </wp:positionV>
              <wp:extent cx="2157095" cy="139065"/>
              <wp:effectExtent l="0" t="0" r="0" b="0"/>
              <wp:wrapNone/>
              <wp:docPr id="1"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4590415</wp:posOffset>
              </wp:positionH>
              <wp:positionV relativeFrom="page">
                <wp:posOffset>9430385</wp:posOffset>
              </wp:positionV>
              <wp:extent cx="1339850" cy="139065"/>
              <wp:effectExtent l="0" t="0" r="0" b="0"/>
              <wp:wrapNone/>
              <wp:docPr id="3"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6342380</wp:posOffset>
              </wp:positionH>
              <wp:positionV relativeFrom="page">
                <wp:posOffset>9430385</wp:posOffset>
              </wp:positionV>
              <wp:extent cx="572770" cy="139065"/>
              <wp:effectExtent l="0" t="0" r="0" b="0"/>
              <wp:wrapNone/>
              <wp:docPr id="5"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LibreOffice/7.3.7.2$Linux_X86_64 LibreOffice_project/30$Build-2</Application>
  <AppVersion>15.0000</AppVersion>
  <Pages>3</Pages>
  <Words>623</Words>
  <Characters>3421</Characters>
  <CharactersWithSpaces>4013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2024-08-10T11:31:19Z</dcterms:modified>
  <cp:revision>4</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