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4C22EC" w:rsidRDefault="00000000">
      <w:pPr>
        <w:spacing w:before="240" w:after="240"/>
        <w:rPr>
          <w:rFonts w:ascii="Times" w:eastAsia="Times" w:hAnsi="Times" w:cs="Times"/>
          <w:sz w:val="24"/>
          <w:szCs w:val="24"/>
        </w:rPr>
      </w:pPr>
      <w:r>
        <w:rPr>
          <w:rFonts w:ascii="Times" w:eastAsia="Times" w:hAnsi="Times" w:cs="Times"/>
          <w:sz w:val="24"/>
          <w:szCs w:val="24"/>
        </w:rPr>
        <w:t>Link: https://public.tableau.com/shared/YD4J533KG?:display_count=n&amp;:origin=viz_share_link</w:t>
      </w:r>
    </w:p>
    <w:p w14:paraId="00000002" w14:textId="77777777" w:rsidR="004C22EC" w:rsidRDefault="00000000">
      <w:pPr>
        <w:spacing w:before="240" w:after="240"/>
        <w:rPr>
          <w:rFonts w:ascii="Times" w:eastAsia="Times" w:hAnsi="Times" w:cs="Times"/>
          <w:sz w:val="24"/>
          <w:szCs w:val="24"/>
        </w:rPr>
      </w:pPr>
      <w:r>
        <w:rPr>
          <w:rFonts w:ascii="Times" w:eastAsia="Times" w:hAnsi="Times" w:cs="Times"/>
          <w:sz w:val="24"/>
          <w:szCs w:val="24"/>
        </w:rPr>
        <w:t>Topic: Product usage by reusability in both locations</w:t>
      </w:r>
    </w:p>
    <w:p w14:paraId="00000003" w14:textId="77777777" w:rsidR="004C22EC" w:rsidRDefault="00000000">
      <w:pPr>
        <w:spacing w:before="240" w:after="240"/>
        <w:rPr>
          <w:rFonts w:ascii="Times" w:eastAsia="Times" w:hAnsi="Times" w:cs="Times"/>
          <w:sz w:val="24"/>
          <w:szCs w:val="24"/>
        </w:rPr>
      </w:pPr>
      <w:r>
        <w:rPr>
          <w:rFonts w:ascii="Times" w:eastAsia="Times" w:hAnsi="Times" w:cs="Times"/>
          <w:sz w:val="24"/>
          <w:szCs w:val="24"/>
        </w:rPr>
        <w:t>Research Question: How does the usage of menstrual products differ based on reusability and absorbency?</w:t>
      </w:r>
    </w:p>
    <w:p w14:paraId="00000004" w14:textId="77777777" w:rsidR="004C22EC" w:rsidRDefault="004C22EC">
      <w:pPr>
        <w:spacing w:before="240" w:after="240"/>
        <w:rPr>
          <w:rFonts w:ascii="Times" w:eastAsia="Times" w:hAnsi="Times" w:cs="Times"/>
          <w:sz w:val="24"/>
          <w:szCs w:val="24"/>
        </w:rPr>
      </w:pPr>
    </w:p>
    <w:p w14:paraId="00000005" w14:textId="77777777" w:rsidR="004C22EC" w:rsidRDefault="00000000">
      <w:pPr>
        <w:spacing w:before="240" w:after="240"/>
        <w:rPr>
          <w:rFonts w:ascii="Times" w:eastAsia="Times" w:hAnsi="Times" w:cs="Times"/>
          <w:sz w:val="24"/>
          <w:szCs w:val="24"/>
        </w:rPr>
      </w:pPr>
      <w:r>
        <w:rPr>
          <w:rFonts w:ascii="Times" w:eastAsia="Times" w:hAnsi="Times" w:cs="Times"/>
          <w:sz w:val="24"/>
          <w:szCs w:val="24"/>
        </w:rPr>
        <w:t xml:space="preserve">Our dashboard provides a comparison of single-use product usage between St. Anne's Hill and South Park in 2025. Our single-use monthly product graphs indicate that pads and tampons clearly outpace all other products as the most used products. Each month, St. Anne's Hill generally has the highest amount of usage. In February usage falls, however it rises again to its highest point in July; similarly South Park follows the same trend, however its peak is in September. </w:t>
      </w:r>
      <w:proofErr w:type="gramStart"/>
      <w:r>
        <w:rPr>
          <w:rFonts w:ascii="Times" w:eastAsia="Times" w:hAnsi="Times" w:cs="Times"/>
          <w:sz w:val="24"/>
          <w:szCs w:val="24"/>
        </w:rPr>
        <w:t>Thus</w:t>
      </w:r>
      <w:proofErr w:type="gramEnd"/>
      <w:r>
        <w:rPr>
          <w:rFonts w:ascii="Times" w:eastAsia="Times" w:hAnsi="Times" w:cs="Times"/>
          <w:sz w:val="24"/>
          <w:szCs w:val="24"/>
        </w:rPr>
        <w:t xml:space="preserve"> we see a consistent demand for single-use products throughout the year with an obvious increase during the summer and beginning of fall.</w:t>
      </w:r>
    </w:p>
    <w:p w14:paraId="00000006" w14:textId="77777777" w:rsidR="004C22EC" w:rsidRDefault="00000000">
      <w:pPr>
        <w:spacing w:before="240" w:after="240"/>
        <w:rPr>
          <w:rFonts w:ascii="Times" w:eastAsia="Times" w:hAnsi="Times" w:cs="Times"/>
          <w:sz w:val="24"/>
          <w:szCs w:val="24"/>
        </w:rPr>
      </w:pPr>
      <w:r>
        <w:rPr>
          <w:rFonts w:ascii="Times" w:eastAsia="Times" w:hAnsi="Times" w:cs="Times"/>
          <w:sz w:val="24"/>
          <w:szCs w:val="24"/>
        </w:rPr>
        <w:t>In contrast our reusable product graphs display a different trend than the single-use product graphs. Cups and period underwear continue to be underutilized and are at the lower levels of usage in both areas. St. Anne's Hill has the lowest level of usage in May and the highest level in September. Similarly South Park has the lowest level of usage in March, however like St. Anne's Hill, its highest level is in September. These findings demonstrate that even though there may be some slight increase at the end of the year, reusable items continue to go unnoticed.</w:t>
      </w:r>
    </w:p>
    <w:p w14:paraId="00000007" w14:textId="77777777" w:rsidR="004C22EC" w:rsidRDefault="00000000">
      <w:pPr>
        <w:spacing w:before="240" w:after="240"/>
        <w:rPr>
          <w:rFonts w:ascii="Times" w:eastAsia="Times" w:hAnsi="Times" w:cs="Times"/>
          <w:sz w:val="24"/>
          <w:szCs w:val="24"/>
        </w:rPr>
      </w:pPr>
      <w:r>
        <w:rPr>
          <w:rFonts w:ascii="Times" w:eastAsia="Times" w:hAnsi="Times" w:cs="Times"/>
          <w:sz w:val="24"/>
          <w:szCs w:val="24"/>
        </w:rPr>
        <w:t xml:space="preserve">The pie charts provide additional evidence of this trend. Both St. Anne's Hill and South Park are nearly </w:t>
      </w:r>
      <w:proofErr w:type="gramStart"/>
      <w:r>
        <w:rPr>
          <w:rFonts w:ascii="Times" w:eastAsia="Times" w:hAnsi="Times" w:cs="Times"/>
          <w:sz w:val="24"/>
          <w:szCs w:val="24"/>
        </w:rPr>
        <w:t>single-use</w:t>
      </w:r>
      <w:proofErr w:type="gramEnd"/>
      <w:r>
        <w:rPr>
          <w:rFonts w:ascii="Times" w:eastAsia="Times" w:hAnsi="Times" w:cs="Times"/>
          <w:sz w:val="24"/>
          <w:szCs w:val="24"/>
        </w:rPr>
        <w:t xml:space="preserve"> based; thus, reusable products represent less than one percent of the total number of products being taken from each neighborhood. The absorbency charts further illustrate preferences. Regular and Super pads and tampons have the largest number of users. Light and Overnight pads and tampons are the next group of users. Cups and Period Underwear represent the lowest number of users.</w:t>
      </w:r>
    </w:p>
    <w:p w14:paraId="00000008" w14:textId="77777777" w:rsidR="004C22EC" w:rsidRDefault="00000000">
      <w:pPr>
        <w:spacing w:before="240" w:after="240"/>
        <w:rPr>
          <w:rFonts w:ascii="Times" w:eastAsia="Times" w:hAnsi="Times" w:cs="Times"/>
          <w:sz w:val="24"/>
          <w:szCs w:val="24"/>
        </w:rPr>
      </w:pPr>
      <w:r>
        <w:rPr>
          <w:rFonts w:ascii="Times" w:eastAsia="Times" w:hAnsi="Times" w:cs="Times"/>
          <w:sz w:val="24"/>
          <w:szCs w:val="24"/>
        </w:rPr>
        <w:t xml:space="preserve">Finally, our Product Type Bar Charts confirm the trends illustrated above. As was evident in the absorbency charts, pads and tampons account for </w:t>
      </w:r>
      <w:proofErr w:type="gramStart"/>
      <w:r>
        <w:rPr>
          <w:rFonts w:ascii="Times" w:eastAsia="Times" w:hAnsi="Times" w:cs="Times"/>
          <w:sz w:val="24"/>
          <w:szCs w:val="24"/>
        </w:rPr>
        <w:t>the majority of</w:t>
      </w:r>
      <w:proofErr w:type="gramEnd"/>
      <w:r>
        <w:rPr>
          <w:rFonts w:ascii="Times" w:eastAsia="Times" w:hAnsi="Times" w:cs="Times"/>
          <w:sz w:val="24"/>
          <w:szCs w:val="24"/>
        </w:rPr>
        <w:t xml:space="preserve"> products taken in both neighborhoods. Likewise, reusable products represent a miniscule percentage of the number of products taken when compared to the tens of thousands of single-use products taken. All-in-all, the data demonstrates a high degree of dependency upon single-use products, and therefore presents a significant opportunity to promote reusable products through education and encourage behavioral changes </w:t>
      </w:r>
      <w:proofErr w:type="gramStart"/>
      <w:r>
        <w:rPr>
          <w:rFonts w:ascii="Times" w:eastAsia="Times" w:hAnsi="Times" w:cs="Times"/>
          <w:sz w:val="24"/>
          <w:szCs w:val="24"/>
        </w:rPr>
        <w:t>in order to</w:t>
      </w:r>
      <w:proofErr w:type="gramEnd"/>
      <w:r>
        <w:rPr>
          <w:rFonts w:ascii="Times" w:eastAsia="Times" w:hAnsi="Times" w:cs="Times"/>
          <w:sz w:val="24"/>
          <w:szCs w:val="24"/>
        </w:rPr>
        <w:t xml:space="preserve"> achieve increased participation in the future.</w:t>
      </w:r>
    </w:p>
    <w:p w14:paraId="00000009" w14:textId="77777777" w:rsidR="004C22EC" w:rsidRDefault="004C22EC">
      <w:pPr>
        <w:rPr>
          <w:rFonts w:ascii="Times" w:eastAsia="Times" w:hAnsi="Times" w:cs="Times"/>
          <w:sz w:val="24"/>
          <w:szCs w:val="24"/>
        </w:rPr>
      </w:pPr>
    </w:p>
    <w:sectPr w:rsidR="004C22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CCAD1DFB-67A2-5E40-B62E-CBEE1E90F290}"/>
    <w:embedItalic r:id="rId2" w:fontKey="{DC73DC4D-935E-264B-9C19-488C7BFC063C}"/>
  </w:font>
  <w:font w:name="Times New Roman">
    <w:panose1 w:val="02020603050405020304"/>
    <w:charset w:val="00"/>
    <w:family w:val="roman"/>
    <w:pitch w:val="variable"/>
    <w:sig w:usb0="E0002EFF" w:usb1="C000785B" w:usb2="00000009" w:usb3="00000000" w:csb0="000001FF" w:csb1="00000000"/>
    <w:embedRegular r:id="rId3" w:fontKey="{14F59C46-2FEA-694F-A39F-E3DA7B8D8108}"/>
  </w:font>
  <w:font w:name="Time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5" w:fontKey="{EAE30C73-7FC3-6542-99A5-4D0E91E57BDF}"/>
  </w:font>
  <w:font w:name="Cambria">
    <w:panose1 w:val="02040503050406030204"/>
    <w:charset w:val="00"/>
    <w:family w:val="roman"/>
    <w:pitch w:val="variable"/>
    <w:sig w:usb0="E00002FF" w:usb1="400004FF" w:usb2="00000000" w:usb3="00000000" w:csb0="0000019F" w:csb1="00000000"/>
    <w:embedRegular r:id="rId6" w:fontKey="{5E2E36F7-DB6B-DA4E-A63B-B375EFF159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2EC"/>
    <w:rsid w:val="00111C0D"/>
    <w:rsid w:val="004C22EC"/>
    <w:rsid w:val="00580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C8C4B2B-4615-6345-9949-AF6B22C6B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Ashritha Rudrapalli</cp:lastModifiedBy>
  <cp:revision>2</cp:revision>
  <dcterms:created xsi:type="dcterms:W3CDTF">2025-12-04T04:55:00Z</dcterms:created>
  <dcterms:modified xsi:type="dcterms:W3CDTF">2025-12-04T04:55:00Z</dcterms:modified>
</cp:coreProperties>
</file>