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Demo Walkthrough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document serves as a step-by-step guide to executing the platform demo. It demonstrates exactly how the system fulfills the requirements for Planning, Retrieval, Verification, Action, and Trace Review.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Running the Demo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trigger the demonstration, run the automated demo script from the root of the project: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./demo.sh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rPr>
          <w:i/>
          <w:iCs/>
        </w:rPr>
        <w:t xml:space="preserve">(Alternatively, you can run </w:t>
      </w:r>
      <w:r>
        <w:rPr>
          <w:rFonts w:ascii="Courier New" w:cs="Courier New" w:eastAsia="Courier New" w:hAnsi="Courier New"/>
          <w:i/>
          <w:iCs/>
          <w:shd w:fill="F1F5F9" w:color="auto" w:val="clear"/>
        </w:rPr>
        <w:t xml:space="preserve">make serve</w:t>
      </w:r>
      <w:r>
        <w:rPr>
          <w:i/>
          <w:iCs/>
        </w:rPr>
        <w:t xml:space="preserve"> to trigger the exact same workflow visually via the web UI).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Below is a breakdown of exactly what is happening under the hood as the trace executes.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Planning Phase</w:t>
      </w:r>
    </w:p>
    <w:p>
      <w:pPr>
        <w:spacing w:after="120"/>
        <w:jc w:val="left"/>
      </w:pPr>
      <w:r>
        <w:t xml:space="preserve">The incident first hits the </w:t>
      </w:r>
      <w:r>
        <w:rPr>
          <w:b/>
          <w:bCs/>
        </w:rPr>
        <w:t xml:space="preserve">Planner Agent</w:t>
      </w:r>
      <w:r>
        <w:t xml:space="preserve">.</w:t>
      </w:r>
      <w:r>
        <w:br/>
      </w:r>
      <w:r>
        <w:t xml:space="preserve">Instead of relying on open-ended LLM chatting, the Planner strictly decomposes the raw alert into a structured, typed Pydantic task (</w:t>
      </w:r>
      <w:r>
        <w:rPr>
          <w:rFonts w:ascii="Courier New" w:cs="Courier New" w:eastAsia="Courier New" w:hAnsi="Courier New"/>
          <w:shd w:fill="F1F5F9" w:color="auto" w:val="clear"/>
        </w:rPr>
        <w:t xml:space="preserve">InvestigationTask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Observable Output:</w:t>
      </w:r>
      <w:r>
        <w:t xml:space="preserve"> You will see the state transition to </w:t>
      </w:r>
      <w:r>
        <w:rPr>
          <w:rFonts w:ascii="Courier New" w:cs="Courier New" w:eastAsia="Courier New" w:hAnsi="Courier New"/>
          <w:shd w:fill="F1F5F9" w:color="auto" w:val="clear"/>
        </w:rPr>
        <w:t xml:space="preserve">-&gt; VALIDATING_INPUT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Behind the scenes:</w:t>
      </w:r>
      <w:r>
        <w:t xml:space="preserve"> The agent identifies the target service (</w:t>
      </w:r>
      <w:r>
        <w:rPr>
          <w:rFonts w:ascii="Courier New" w:cs="Courier New" w:eastAsia="Courier New" w:hAnsi="Courier New"/>
          <w:shd w:fill="F1F5F9" w:color="auto" w:val="clear"/>
        </w:rPr>
        <w:t xml:space="preserve">checkout-api</w:t>
      </w:r>
      <w:r>
        <w:t xml:space="preserve">) and formulates a specific, scoped investigation objective rather than guessing what to do next.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Retrieval Phase</w:t>
      </w:r>
    </w:p>
    <w:p>
      <w:pPr>
        <w:spacing w:after="120"/>
        <w:jc w:val="left"/>
      </w:pPr>
      <w:r>
        <w:t xml:space="preserve">Next, the workflow transitions to the </w:t>
      </w:r>
      <w:r>
        <w:rPr>
          <w:b/>
          <w:bCs/>
        </w:rPr>
        <w:t xml:space="preserve">Investigator Agent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Observable Output:</w:t>
      </w:r>
      <w:r>
        <w:t xml:space="preserve"> You will see the state transition to </w:t>
      </w:r>
      <w:r>
        <w:rPr>
          <w:rFonts w:ascii="Courier New" w:cs="Courier New" w:eastAsia="Courier New" w:hAnsi="Courier New"/>
          <w:shd w:fill="F1F5F9" w:color="auto" w:val="clear"/>
        </w:rPr>
        <w:t xml:space="preserve">-&gt; INVESTIGATING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Behind the scenes:</w:t>
      </w:r>
      <w:r>
        <w:t xml:space="preserve"> The Investigator uses hybrid search (FTS5 Lexical + embeddings) to query the local runbook database using the Planner's exact objective. It retrieves the specific runbook for </w:t>
      </w:r>
      <w:r>
        <w:rPr>
          <w:rFonts w:ascii="Courier New" w:cs="Courier New" w:eastAsia="Courier New" w:hAnsi="Courier New"/>
          <w:shd w:fill="F1F5F9" w:color="auto" w:val="clear"/>
        </w:rPr>
        <w:t xml:space="preserve">checkout-api</w:t>
      </w:r>
      <w:r>
        <w:t xml:space="preserve"> and extracts actionable evidence (e.g., </w:t>
      </w:r>
      <w:r>
        <w:rPr>
          <w:i/>
          <w:iCs/>
        </w:rPr>
        <w:t xml:space="preserve">'If latency spikes, scale up replicas'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Verification (Safety Boundary)</w:t>
      </w:r>
    </w:p>
    <w:p>
      <w:pPr>
        <w:spacing w:after="120"/>
        <w:jc w:val="left"/>
      </w:pPr>
      <w:r>
        <w:t xml:space="preserve">Based on the retrieved evidence, the </w:t>
      </w:r>
      <w:r>
        <w:rPr>
          <w:b/>
          <w:bCs/>
        </w:rPr>
        <w:t xml:space="preserve">IO Agent</w:t>
      </w:r>
      <w:r>
        <w:t xml:space="preserve"> proposes an infrastructure action. However, the LLM is physically incapable of executing this action directly. The proposal must pass through the deterministic </w:t>
      </w:r>
      <w:r>
        <w:rPr>
          <w:b/>
          <w:bCs/>
        </w:rPr>
        <w:t xml:space="preserve">Safety Verifier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Observable Output:</w:t>
      </w:r>
      <w:r>
        <w:t xml:space="preserve"> You will see </w:t>
      </w:r>
      <w:r>
        <w:rPr>
          <w:rFonts w:ascii="Courier New" w:cs="Courier New" w:eastAsia="Courier New" w:hAnsi="Courier New"/>
          <w:shd w:fill="F1F5F9" w:color="auto" w:val="clear"/>
        </w:rPr>
        <w:t xml:space="preserve">Safety Decision: ALLOW</w:t>
      </w:r>
      <w:r>
        <w:t xml:space="preserve"> (or </w:t>
      </w:r>
      <w:r>
        <w:rPr>
          <w:rFonts w:ascii="Courier New" w:cs="Courier New" w:eastAsia="Courier New" w:hAnsi="Courier New"/>
          <w:shd w:fill="F1F5F9" w:color="auto" w:val="clear"/>
        </w:rPr>
        <w:t xml:space="preserve">REQUIRE_APPROVAL</w:t>
      </w:r>
      <w:r>
        <w:t xml:space="preserve"> depending on the autonomy tier).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Behind the scenes:</w:t>
      </w:r>
      <w:r>
        <w:t xml:space="preserve"> The Verifier calculates the blast radius using a NetworkX dependency graph and cross-references our hardcoded autonomy rules. Because the Verifier is pure Python policy (not an LLM), it guarantees the system fails closed and remains 100% safe for production.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Action Phase</w:t>
      </w:r>
    </w:p>
    <w:p>
      <w:pPr>
        <w:spacing w:after="120"/>
        <w:jc w:val="left"/>
      </w:pPr>
      <w:r>
        <w:t xml:space="preserve">Because the deterministic policy passed, the workflow moves to the </w:t>
      </w:r>
      <w:r>
        <w:rPr>
          <w:b/>
          <w:bCs/>
        </w:rPr>
        <w:t xml:space="preserve">Execution</w:t>
      </w:r>
      <w:r>
        <w:t xml:space="preserve"> phase.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Observable Output:</w:t>
      </w:r>
      <w:r>
        <w:t xml:space="preserve"> You will see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Execution: Simulated scale of checkout-api to 50 replicas successful</w:t>
      </w:r>
      <w:r>
        <w:t xml:space="preserve">, followed by </w:t>
      </w:r>
      <w:r>
        <w:rPr>
          <w:rFonts w:ascii="Courier New" w:cs="Courier New" w:eastAsia="Courier New" w:hAnsi="Courier New"/>
          <w:shd w:fill="F1F5F9" w:color="auto" w:val="clear"/>
        </w:rPr>
        <w:t xml:space="preserve">-&gt; COMPLETED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Behind the scenes:</w:t>
      </w:r>
      <w:r>
        <w:t xml:space="preserve"> The validated action is routed through the </w:t>
      </w:r>
      <w:r>
        <w:rPr>
          <w:rFonts w:ascii="Courier New" w:cs="Courier New" w:eastAsia="Courier New" w:hAnsi="Courier New"/>
          <w:shd w:fill="F1F5F9" w:color="auto" w:val="clear"/>
        </w:rPr>
        <w:t xml:space="preserve">ToolGateway</w:t>
      </w:r>
      <w:r>
        <w:t xml:space="preserve">, which acts as an interceptor for simulated actions, preventing actual infrastructure mutations while proving the plumbing works.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Trace Review (Auditability)</w:t>
      </w:r>
    </w:p>
    <w:p>
      <w:pPr>
        <w:spacing w:after="120"/>
        <w:jc w:val="left"/>
      </w:pPr>
      <w:r>
        <w:t xml:space="preserve">For production compliance, every single step, LLM thought, and safety decision was asynchronously written to an append-only SQLite event log.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How to verify:</w:t>
      </w:r>
      <w:r>
        <w:t xml:space="preserve"> Copy the Run ID from the demo output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run-abc123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Run the audit replay: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uv run agentops trace-show &lt;run-id&gt;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This produces a structured JSON output, proving that the platform maintains a 100% reproducible, auditable record of what the AI did and why the deterministic policy approved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2026-09-24T13:15:44.499Z</dcterms:created>
  <dcterms:modified xsi:type="dcterms:W3CDTF">2026-09-24T13:15:44.499Z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