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BridgeNexus Technologies Inc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 W2 Sunnyvale, CA, Cupertino, Santa Clara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position at BridgeNexus Technologies Inc. With over four years of hands-on experience building and deploying production ML systems — spanning retrieval-augmented generation pipelines, computer-vision applications, and NLP-powered solutions — I am confident in my ability to contribute meaningfully to your team's AI initiatives from day one.</w:t>
      </w:r>
    </w:p>
    <w:p>
      <w:r>
        <w:rPr>
          <w:rFonts w:ascii="Arial" w:hAnsi="Arial"/>
          <w:b w:val="0"/>
          <w:i w:val="0"/>
          <w:color w:val="000000"/>
          <w:sz w:val="22"/>
        </w:rPr>
        <w:t>In my role as a Generative AI Engineer Intern at G5 Infotech, I designed and benchmarked RAG pipelines using LangChain and Hugging Face, evaluating precision, recall, and MRR across multiple chunking strategies to achieve approximately 30% retrieval latency reduction in production. I also tuned Pinecone vector-database configurations and managed context windows to deliver a further 22% improvement in average response time — exactly the kind of iterative model optimization and performance monitoring your role requires. As a Graduate Research Assistant at Stevens Institute of Technology, I trained and deployed multi-modal AI models integrating vision-language models and OCR on Vuzix smart glasses hardware, and conducted rigorous statistical evaluation across 25 blind participants using R, achieving a 68% efficiency gain. This work was recognized with a first-author publication at ACM SIGACCESS ASSETS 2025, reflecting my commitment to both technical rigor and real-world impact.</w:t>
      </w:r>
    </w:p>
    <w:p>
      <w:r>
        <w:rPr>
          <w:rFonts w:ascii="Arial" w:hAnsi="Arial"/>
          <w:b w:val="0"/>
          <w:i w:val="0"/>
          <w:color w:val="000000"/>
          <w:sz w:val="22"/>
        </w:rPr>
        <w:t>At CircleZapp, I prototyped and A/B-tested three collaborative filtering variants against live behavioral data, lifting click-through rate by 12% in holdout tests and directly influencing two product feature releases. I also reduced match latency from 800ms to 340ms through targeted algorithm optimization, demonstrating my ability to collect, analyze, and act on large-scale behavioral datasets to continuously improve deployed systems — core responsibilities outlined in this role. Across all these positions I have worked with Python, TensorFlow, PyTorch, scikit-learn, and AWS infrastructure, giving me a strong foundation across the full ML lifecycle from data collection and model training to deployment and monitoring.</w:t>
      </w:r>
    </w:p>
    <w:p>
      <w:r>
        <w:rPr>
          <w:rFonts w:ascii="Arial" w:hAnsi="Arial"/>
          <w:b w:val="0"/>
          <w:i w:val="0"/>
          <w:color w:val="000000"/>
          <w:sz w:val="22"/>
        </w:rPr>
        <w:t>I am eager to bring this breadth of experience to BridgeNexus Technologies and collaborate with your software engineers and data scientists to develop and refine AI solutions at scale. I would welcome the opportunity to discuss how my background aligns with your team's goals and am available at your convenience for a conversation.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