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delivering production ML systems, including RAG pipelines, computer-vision applications, and NLP-powered solutions. Designed and benchmarked retrieval-augmented generation pipelines achieving ~30% latency reduction, and published first-author peer-reviewed research on multi-modal AI at ACM SIGACCESS ASSETS 2025. Proficient in Python, TensorFlow, PyTorch, scikit-learn, and cloud deployment on AWS.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Python, R, Java, SQL, PyTorch, TensorFlow, scikit-learn, XGBoost, NLP, Computer Vision, Multi-Modal AI (VLMs, OCR), LangChain, LlamaIndex, Hugging Face, RAG, Agentic Workflows, Prompt Engineering, AWS, Docker, Kubernetes, FastAPI, CI/CD, OpenCV, RAGAS, DeepEval, MongoDB, Firebase, React.js, Node.js, API Integration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precision, recall, and MRR,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 for deployed AI solutions.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Evaluated model performance continuously using retrieval and generation metrics, informing iterative optimization of the production RAG pipeline.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 Android application using Kotlin and OpenCV 4.9 that performed real-time form-field detection via Canny edge detection, contour analysis, and perspective warp, deploying a computer-vision model on-device for smart glasses.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across 25 blind participants, conducting statistical usability analysis in R and achieving a 68% efficiency gain; authored a first-author peer-reviewed paper published at ACM SIGACCESS ASSETS 2025.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Trained and optimized multi-modal AI models integrating VLMs and OCR, testing performance across diverse real-world conditions to ensure production-grade reliability.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variants against live behavioral data, lifting click-through rate by 12% in holdout tests; findings directly shaped 2 product feature releases.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 NLP-powered preference chatbot and a graph-based matching algorithm using NetworkX, serving 10,000+ active accounts.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Optimized graph indexing to reduce average match latency from 800ms to 340ms, demonstrating end-to-end model deployment and performance monitoring.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