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i w:val="0"/>
          <w:color w:val="000000"/>
          <w:sz w:val="22"/>
        </w:rPr>
        <w:t>Srikala Sandu</w:t>
      </w:r>
    </w:p>
    <w:p>
      <w:r>
        <w:rPr>
          <w:rFonts w:ascii="Arial" w:hAnsi="Arial"/>
          <w:b w:val="0"/>
          <w:i w:val="0"/>
          <w:color w:val="000000"/>
          <w:sz w:val="22"/>
        </w:rPr>
        <w:t>Jersey City, NJ | sandusrikala@gmail.com | +1 (551) 554-1160</w:t>
      </w:r>
    </w:p>
    <w:p/>
    <w:p>
      <w:r>
        <w:rPr>
          <w:rFonts w:ascii="Arial" w:hAnsi="Arial"/>
          <w:b w:val="0"/>
          <w:i w:val="0"/>
          <w:color w:val="000000"/>
          <w:sz w:val="22"/>
        </w:rPr>
        <w:t>Hiring Team, Cognizant</w:t>
      </w:r>
    </w:p>
    <w:p>
      <w:r>
        <w:rPr>
          <w:rFonts w:ascii="Arial" w:hAnsi="Arial"/>
          <w:b w:val="0"/>
          <w:i w:val="0"/>
          <w:color w:val="000000"/>
          <w:sz w:val="22"/>
        </w:rPr>
        <w:t>Re: Generative AI Engineer, Bentonville, Benton County</w:t>
      </w:r>
    </w:p>
    <w:p/>
    <w:p>
      <w:r>
        <w:rPr>
          <w:rFonts w:ascii="Arial" w:hAnsi="Arial"/>
          <w:b w:val="0"/>
          <w:i w:val="0"/>
          <w:color w:val="000000"/>
          <w:sz w:val="22"/>
        </w:rPr>
        <w:t>Dear Hiring Team,</w:t>
      </w:r>
    </w:p>
    <w:p>
      <w:r>
        <w:rPr>
          <w:rFonts w:ascii="Arial" w:hAnsi="Arial"/>
          <w:b w:val="0"/>
          <w:i w:val="0"/>
          <w:color w:val="000000"/>
          <w:sz w:val="22"/>
        </w:rPr>
        <w:t>I am excited to apply for the Senior Generative AI Engineer role at Cognizant. With over four years of hands-on experience designing and deploying production-grade AI systems — spanning RAG pipelines, agentic workflows, and multi-modal applications — I am confident in my ability to translate complex business requirements into scalable, cloud-ready generative AI solutions that deliver measurable impact.</w:t>
      </w:r>
    </w:p>
    <w:p>
      <w:r>
        <w:rPr>
          <w:rFonts w:ascii="Arial" w:hAnsi="Arial"/>
          <w:b w:val="0"/>
          <w:i w:val="0"/>
          <w:color w:val="000000"/>
          <w:sz w:val="22"/>
        </w:rPr>
        <w:t>In my role as a Generative AI Engineer at G5 Infotech, I benchmarked multiple RAG chunking strategies using LangChain and Hugging Face, evaluating precision, recall, and MRR to achieve approximately 30% retrieval latency reduction in production. I also tuned Pinecone vector-DB configurations and context-window management to deliver a further 22% improvement in average response time. These experiences gave me direct exposure to the full lifecycle of production RAG systems — from architecture design and evaluation to deployment optimization — precisely the kind of work I look forward to scaling at Cognizant.</w:t>
      </w:r>
    </w:p>
    <w:p>
      <w:r>
        <w:rPr>
          <w:rFonts w:ascii="Arial" w:hAnsi="Arial"/>
          <w:b w:val="0"/>
          <w:i w:val="0"/>
          <w:color w:val="000000"/>
          <w:sz w:val="22"/>
        </w:rPr>
        <w:t>As a Graduate Research Assistant at Stevens Institute of Technology, I engineered a real-time computer-vision application deployed on Vuzix M400 smart glasses using Kotlin, OpenCV, and Camera2 API, and validated its performance across 25 participants with a rigorous spatial accuracy framework — achieving a 68% efficiency gain. This work culminated in a first-author peer-reviewed publication at ACM SIGACCESS ASSETS 2025, reflecting my commitment to both research rigor and applied AI delivery. Additionally, at CircleZapp I built and A/B-tested collaborative filtering systems at scale, optimizing match latency by over 57% and directly influencing product roadmap decisions — demonstrating my ability to collaborate cross-functionally and ship reliable AI-driven features.</w:t>
      </w:r>
    </w:p>
    <w:p>
      <w:r>
        <w:rPr>
          <w:rFonts w:ascii="Arial" w:hAnsi="Arial"/>
          <w:b w:val="0"/>
          <w:i w:val="0"/>
          <w:color w:val="000000"/>
          <w:sz w:val="22"/>
        </w:rPr>
        <w:t>I am drawn to Cognizant's hybrid work model and its emphasis on partnering with client stakeholders to deliver enterprise-grade AI solutions. My technical breadth across LangChain, LangGraph, LlamaIndex, AWS, Docker, and Kubernetes, combined with my experience working alongside engineering leads and translating requirements into production systems, positions me well to contribute immediately to your generative AI practice. I would welcome the opportunity to discuss how my background aligns with your team's goals.</w:t>
      </w:r>
    </w:p>
    <w:p/>
    <w:p>
      <w:r>
        <w:rPr>
          <w:rFonts w:ascii="Arial" w:hAnsi="Arial"/>
          <w:b w:val="0"/>
          <w:i w:val="0"/>
          <w:color w:val="000000"/>
          <w:sz w:val="22"/>
        </w:rPr>
        <w:t>Sincerely,</w:t>
      </w:r>
    </w:p>
    <w:p>
      <w:r>
        <w:rPr>
          <w:rFonts w:ascii="Arial" w:hAnsi="Arial"/>
          <w:b w:val="0"/>
          <w:i w:val="0"/>
          <w:color w:val="000000"/>
          <w:sz w:val="22"/>
        </w:rPr>
        <w:t>Srikala Sandu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