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Momento USA LLC</w:t>
      </w:r>
    </w:p>
    <w:p>
      <w:r>
        <w:rPr>
          <w:rFonts w:ascii="Arial" w:hAnsi="Arial"/>
          <w:b w:val="0"/>
          <w:i w:val="0"/>
          <w:color w:val="000000"/>
          <w:sz w:val="22"/>
        </w:rPr>
        <w:t>Re: AI Engineer, Grand Central, Manhattan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AI Engineer role at Momento USA LLC. With over four years of hands-on experience designing and deploying production-grade AI and Generative AI systems — spanning RAG pipelines, LLM-powered applications, and computer-vision solutions — I am confident in my ability to address your clients' most pressing AI challenges and deliver measurable impact from day one.</w:t>
      </w:r>
    </w:p>
    <w:p>
      <w:r>
        <w:rPr>
          <w:rFonts w:ascii="Arial" w:hAnsi="Arial"/>
          <w:b w:val="0"/>
          <w:i w:val="0"/>
          <w:color w:val="000000"/>
          <w:sz w:val="22"/>
        </w:rPr>
        <w:t>In my most recent role as a Generative AI Engineer Intern at G5 Infotech, I benchmarked multiple RAG chunking strategies using LangChain and Hugging Face, driving approximately 30% retrieval latency reduction in production. I also tuned Pinecone vector-database configurations and optimized context-window management, achieving roughly 22% faster average response times for LLM-powered pipelines — the kind of end-to-end GenAI optimization that directly supports building robust, scalable AI solutions for enterprise clients. Complementing this, my work as a Graduate Research Assistant at Stevens Institute of Technology involved engineering a real-time multi-modal AI application integrating OpenCV-based computer vision on smart glasses hardware, culminating in a first-author publication at ACM SIGACCESS ASSETS 2025, demonstrating my ability to bring novel AI research through to a production-ready system.</w:t>
      </w:r>
    </w:p>
    <w:p>
      <w:r>
        <w:rPr>
          <w:rFonts w:ascii="Arial" w:hAnsi="Arial"/>
          <w:b w:val="0"/>
          <w:i w:val="0"/>
          <w:color w:val="000000"/>
          <w:sz w:val="22"/>
        </w:rPr>
        <w:t>At CircleZapp, I further broadened my ML engineering experience by building NLP-powered chatbots, designing collaborative filtering models, and A/B testing recommendation variants against live behavioral data — lifting click-through rates by 12% and shaping multiple product releases. My proficiency spans Python, PyTorch, LangChain, LlamaIndex, agentic workflows, and AWS cloud infrastructure, giving me the full-stack GenAI toolkit needed to design, develop, and deploy the AI/ML solutions Momento USA's clients demand.</w:t>
      </w:r>
    </w:p>
    <w:p>
      <w:r>
        <w:rPr>
          <w:rFonts w:ascii="Arial" w:hAnsi="Arial"/>
          <w:b w:val="0"/>
          <w:i w:val="0"/>
          <w:color w:val="000000"/>
          <w:sz w:val="22"/>
        </w:rPr>
        <w:t>I am drawn to Momento USA's consulting model because it offers the opportunity to apply AI engineering expertise across diverse client challenges at scale. I would welcome the chance to bring my experience in RAG systems, LLM application development, and production ML deployment to your team in the hybrid New York role, and I look forward to discussing how I can contribute.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