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Generative AI Engineer with 4+ years delivering production ML systems, including RAG pipelines, agentic workflows, and computer-vision applications on cloud platforms. Benchmarked retrieval-augmented generation pipelines achieving ~30% latency reduction and authored a peer-reviewed paper on multi-modal AI at ACM SIGACCESS ASSETS 2025. Proficient in LangChain, LangGraph, LlamaIndex, Python, and AWS cloud services.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PyTorch, TensorFlow, scikit-learn, XGBoost, OpenCV, NLP, Computer Vision, Multi-Modal AI (VLMs, OCR), AWS, Docker, Kubernetes, FastAPI, CI/CD, SQL, MongoDB, Firebase, React.js, Node.js,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 to achieve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deployed generative AI applications.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evaluated end-to-end RAG pipelines integrating LLM inference with scalable vector retrieval, directly informing architecture decisions for production-ready AI systems.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 entirely on-device.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achieving a 68% efficiency gain; conducted Likert-scale usability analysis in R to quantify accessibility outcomes.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demonstrating expertise in VLMs, OCR, and production AI deployment.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preference chatbot and a Six Degrees of Separation graph algorithm using NetworkX to match users across 10,000+ active accounts by shared interests, location, school, and community.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scalable features within a 3-month timeline.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