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pipelines, LLM-powered applications, and computer-vision solutions. Benchmarked retrieval-augmented generation pipelines achieving ~30% latency reduction and published first-author research on multi-modal AI at ACM SIGACCESS ASSETS 2025. Proficient in Python, LangChain, LlamaIndex, PyTorch, and AWS cloud services.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Applied ML/GenAI: PyTorch, TensorFlow, scikit-learn, XGBoost, OpenCV, NLP, Computer Vision, Multi-Modal AI (VLMs, OCR), GenAI/LLMOps: LangChain, LangGraph, LlamaIndex, Hugging Face, RAG, Agentic Workflows, Prompt Engineering, RAGAS, DeepEval, Infrastructure: Docker, Kubernetes, AWS, FastAPI, CI/CD, Languages/Scripting: Python, SQL, JavaScript, C++, Java, R, Frameworks/Tools/OS: React.js, Node.js, API Integration, Linux, Databases: MongoDB, Firebase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MRR,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for LLM-powered query pipelines.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Applied prompt engineering and retrieval optimization techniques to improve generative AI output quality across document-heavy enterprise use cases.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Android application using Kotlin, OpenCV 4.9, and Camera2 API integrating real-time computer-vision form-field detection via Canny edge detection, contour analysis, and perspective warp for on-device processing.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evaluated across 25 participants, achieving a 68% efficiency gain; conducted Likert-scale usability analysis in R.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 (doi: 10.1145/3663547.3759722).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NLP-powered This-or-That preference chatbot and a Six Degrees of Separation graph algorithm using NetworkX to match users across 10,000+ active accounts by shared interests, location, and community.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tests; findings directly shaped 2 product feature releases.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Optimized graph indexing to cut average match latency from 800ms to 340ms, delivering both ML-driven features within a 3-month timeline.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