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Designed and benchmarked retrieval-augmented generation pipelines achieving ~30% latency reduction and authored a peer-reviewed paper on multi-modal AI at ACM SIGACCESS ASSETS 2025. Proficient in LangChain, LangGraph, LlamaIndex, Python, and AWS cloud services, with hands-on experience building and deploying scalable agentic and LLM-powered systems.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Hugging Face, RAG, Agentic Workflows, Prompt Engineering, RAGAS, DeepEval, PyTorch, TensorFlow, scikit-learn, XGBoost, OpenCV, NLP, Computer Vision, Multi-Modal AI (VLMs, OCR), AWS, Docker, Kubernetes, FastAPI, CI/CD, SQL, MongoDB, Firebase,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LLM-powered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techniques and agentic workflow design to optimize end-to-end generative AI pipeline performance across large text-based datasets.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multi-modal AI application using Kotlin, OpenCV 4.9, and Camera2 API for Vuzix M400 smart glasses, performing real-time form-field detection via Canny edge detection, contour analysis, and perspective warp for on-device processing.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achieving a 68% efficiency gain; conducted statistical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This-or-That preference chatbot and a Six Degrees of Separation graph algorithm using NetworkX to autonomously match users across 10,000+ active accounts by shared interests, location,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reduce average match latency from 800ms to 340ms, delivering both features within 3 months on a distributed platform.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