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Designed and benchmarked retrieval-augmented generation pipelines that cut latency by ~30% and authored a peer-reviewed paper on multi-modal AI at ACM SIGACCESS ASSETS 2025. Proficient in LangChain, LangGraph, LlamaIndex, Python, and cloud services, with hands-on experience building high-impact AI prototypes and enterprise-grade solutions.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GenAI/LLMOps: LangChain, LangGraph, LlamaIndex, Hugging Face, RAG, Agentic Workflows, Prompt Engineering, RAGAS, DeepEval, Applied ML/GenAI: PyTorch, TensorFlow, scikit-learn, XGBoost, OpenCV, NLP, Computer Vision, Multi-Modal AI (VLMs, OCR), Languages/Scripting: Python, SQL, JavaScript, R, Infrastructure: Docker, Kubernetes, AWS, FastAPI, CI/CD, Frameworks/Tools/OS: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Infotech, Remote, USA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enterprise query workloads.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RAGAS and DeepEval frameworks to evaluate and iterate on RAG pipeline quality, directly informing production deployment decisions.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Technology, Hoboken, USA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Vuzix M400 smart glasses, enabling real-time on-device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 and conducted Likert-scale usability analysis in R,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CircleZapp, Remote, USA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This-or-That preference chatbot and a Six Degrees of Separation graph algorithm using NetworkX to match users across 10,000+ active accounts by shared interests, location, school,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