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i w:val="0"/>
          <w:color w:val="000000"/>
          <w:sz w:val="22"/>
        </w:rPr>
        <w:t>Srikala Sandu</w:t>
      </w:r>
    </w:p>
    <w:p>
      <w:r>
        <w:rPr>
          <w:rFonts w:ascii="Arial" w:hAnsi="Arial"/>
          <w:b w:val="0"/>
          <w:i w:val="0"/>
          <w:color w:val="000000"/>
          <w:sz w:val="22"/>
        </w:rPr>
        <w:t>Jersey City, NJ | sandusrikala@gmail.com | +1 (551) 554-1160</w:t>
      </w:r>
    </w:p>
    <w:p/>
    <w:p>
      <w:r>
        <w:rPr>
          <w:rFonts w:ascii="Arial" w:hAnsi="Arial"/>
          <w:b w:val="0"/>
          <w:i w:val="0"/>
          <w:color w:val="000000"/>
          <w:sz w:val="22"/>
        </w:rPr>
        <w:t>Hiring Team, Capital One</w:t>
      </w:r>
    </w:p>
    <w:p>
      <w:r>
        <w:rPr>
          <w:rFonts w:ascii="Arial" w:hAnsi="Arial"/>
          <w:b w:val="0"/>
          <w:i w:val="0"/>
          <w:color w:val="000000"/>
          <w:sz w:val="22"/>
        </w:rPr>
        <w:t>Re: Senior AI Engineer, Pimmit, Fairfax County</w:t>
      </w:r>
    </w:p>
    <w:p/>
    <w:p>
      <w:r>
        <w:rPr>
          <w:rFonts w:ascii="Arial" w:hAnsi="Arial"/>
          <w:b w:val="0"/>
          <w:i w:val="0"/>
          <w:color w:val="000000"/>
          <w:sz w:val="22"/>
        </w:rPr>
        <w:t>Dear Hiring Team,</w:t>
      </w:r>
    </w:p>
    <w:p>
      <w:r>
        <w:rPr>
          <w:rFonts w:ascii="Arial" w:hAnsi="Arial"/>
          <w:b w:val="0"/>
          <w:i w:val="0"/>
          <w:color w:val="000000"/>
          <w:sz w:val="22"/>
        </w:rPr>
        <w:t>Capital One's commitment to building responsible, reliable AI systems that create real-time personalized customer experiences aligns directly with the work I have been doing throughout my career. As an AI Engineer with 4+ years of hands-on experience delivering production ML systems — from retrieval-augmented generation pipelines to multi-modal computer-vision applications — I am excited by the opportunity to contribute to a team that is genuinely changing how banking works through machine learning.</w:t>
      </w:r>
    </w:p>
    <w:p>
      <w:r>
        <w:rPr>
          <w:rFonts w:ascii="Arial" w:hAnsi="Arial"/>
          <w:b w:val="0"/>
          <w:i w:val="0"/>
          <w:color w:val="000000"/>
          <w:sz w:val="22"/>
        </w:rPr>
        <w:t>In my most recent role as a Generative AI Engineer at G5 Infotech, I benchmarked multiple RAG chunking strategies using LangChain and Hugging Face, evaluating precision, recall, and MRR to achieve a ~30% reduction in retrieval latency in production. I also tuned Pinecone vector-DB configuration and context-window management to deliver ~22% faster average response times — the kind of measurable, customer-facing improvement that matters in a financial-services environment where speed and accuracy are critical. I complement this with deep familiarity with agentic workflow frameworks including LangGraph and LlamaIndex, prompt engineering best practices, and evaluation tooling such as RAGAS and DeepEval to ensure outputs are trustworthy and auditable.</w:t>
      </w:r>
    </w:p>
    <w:p>
      <w:r>
        <w:rPr>
          <w:rFonts w:ascii="Arial" w:hAnsi="Arial"/>
          <w:b w:val="0"/>
          <w:i w:val="0"/>
          <w:color w:val="000000"/>
          <w:sz w:val="22"/>
        </w:rPr>
        <w:t>At Stevens Institute of Technology, my graduate research pushed me to think rigorously about responsible AI evaluation: I designed an IoU-based spatial accuracy algorithm tested across 25 human participants, performed statistical usability analysis in R, and published the resulting work as a first-author paper at ACM SIGACCESS ASSETS 2025. This experience reinforced that deploying AI responsibly requires not just building systems that work, but measuring them carefully against real human outcomes — a philosophy I believe Capital One shares. At CircleZapp, I further demonstrated this by A/B-testing three collaborative filtering variants against live behavioral data, lifting click-through rate by 12% and directly informing two product feature releases.</w:t>
      </w:r>
    </w:p>
    <w:p>
      <w:r>
        <w:rPr>
          <w:rFonts w:ascii="Arial" w:hAnsi="Arial"/>
          <w:b w:val="0"/>
          <w:i w:val="0"/>
          <w:color w:val="000000"/>
          <w:sz w:val="22"/>
        </w:rPr>
        <w:t>I am eager to bring this combination of production GenAI engineering, responsible evaluation practices, and a track record of measurable impact to Capital One's Senior AI Engineer role. I would welcome the opportunity to discuss how my experience can contribute to your mission of creating AI systems that are both innovative and trustworthy.</w:t>
      </w:r>
    </w:p>
    <w:p/>
    <w:p>
      <w:r>
        <w:rPr>
          <w:rFonts w:ascii="Arial" w:hAnsi="Arial"/>
          <w:b w:val="0"/>
          <w:i w:val="0"/>
          <w:color w:val="000000"/>
          <w:sz w:val="22"/>
        </w:rPr>
        <w:t>Sincerely,</w:t>
      </w:r>
    </w:p>
    <w:p>
      <w:r>
        <w:rPr>
          <w:rFonts w:ascii="Arial" w:hAnsi="Arial"/>
          <w:b w:val="0"/>
          <w:i w:val="0"/>
          <w:color w:val="000000"/>
          <w:sz w:val="22"/>
        </w:rPr>
        <w:t>Srikala Sandu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