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computer-vision applications in cloud-native environments. Designed and benchmarked retrieval-augmented generation pipelines that reduced latency by ~30% and authored a peer-reviewed paper on multi-modal AI at ACM SIGACCESS ASSETS 2025. Proficient in Python, LangChain, LangGraph, PyTorch, and AWS, with hands-on experience building responsible, reliable AI systems at scale.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Applied ML/GenAI: PyTorch, TensorFlow, scikit-learn, XGBoost, OpenCV, NLP, Computer Vision, Multi-Modal AI (VLMs, OCR), GenAI/LLMOps: LangChain, LangGraph, LlamaIndex, Hugging Face, RAG, Agentic Workflows, Prompt Engineering, RAGAS, DeepEval, Infrastructure: Docker, Kubernetes, AWS, FastAPI, CI/CD, Languages/Scripting: Python, SQL, Java, C++, R, JavaScript, Databases: MongoDB, Firebase, Frameworks/Tools/OS: React.js, Node.js, Jupyter Notebook, API Integration,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production workloads.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Evaluated retrieval pipeline quality using RAGAS and DeepEval frameworks, enabling data-driven iteration on prompt engineering and chunking strategies.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application using Kotlin, OpenCV 4.9, and Camera2 API for Vuzix M400 smart glasses, performing real-time form-field detection via Canny edge detection, contour analysis, and perspective warp entirely on-device.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blind participants, achieving an 87% mappability rate and a 68% efficiency gain; conducted Likert-scale usability analysis in 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2025, demonstrating responsible AI development for real-world accessibility impact.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Six Degrees of Separation graph algorithm using NetworkX to match users across 10,000+ active accounts; optimized graph indexing to cut average match latency from 800ms to 340ms.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Developed an NLP-based This-or-That preference chatbot integrating real-time behavioral signals to personalize user matching recommendations.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