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000000"/>
          <w:sz w:val="36"/>
        </w:rPr>
        <w:t>SRIKALA SANDU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0"/>
        </w:rPr>
        <w:t>sandusrikala@gmail.com | Jersey City, NJ | +1 (551) 554-1160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SUMMARY</w:t>
      </w:r>
    </w:p>
    <w:p>
      <w:r>
        <w:rPr>
          <w:rFonts w:ascii="Arial" w:hAnsi="Arial"/>
          <w:b w:val="0"/>
          <w:i w:val="0"/>
          <w:color w:val="000000"/>
          <w:sz w:val="21"/>
        </w:rPr>
        <w:t>AI Engineer with 4+ years delivering production ML systems, including RAG pipelines, agentic workflows, and computer-vision applications in cloud-first environments. Designed and benchmarked retrieval-augmented generation pipelines that reduced latency by ~30% and authored a peer-reviewed paper on multi-modal AI at ACM SIGACCESS ASSETS 2025. Proficient in Python, LangChain, LangGraph, PyTorch, and AWS, with hands-on experience building responsible, reliable AI systems at scale.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SKILLS</w:t>
      </w:r>
    </w:p>
    <w:p>
      <w:r>
        <w:rPr>
          <w:rFonts w:ascii="Arial" w:hAnsi="Arial"/>
          <w:b w:val="0"/>
          <w:i w:val="0"/>
          <w:color w:val="000000"/>
          <w:sz w:val="21"/>
        </w:rPr>
        <w:t>Python, LangChain, LangGraph, LlamaIndex, RAG, Agentic Workflows, Prompt Engineering, RAGAS, DeepEval, Hugging Face, PyTorch, TensorFlow, scikit-learn, XGBoost, NLP, Computer Vision, Multi-Modal AI (VLMs, OCR), AWS, Docker, Kubernetes, FastAPI, CI/CD, SQL, MongoDB, OpenCV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EXPERIENCE</w:t>
      </w:r>
    </w:p>
    <w:p>
      <w:r>
        <w:rPr>
          <w:rFonts w:ascii="Arial" w:hAnsi="Arial"/>
          <w:b/>
          <w:i w:val="0"/>
          <w:color w:val="000000"/>
          <w:sz w:val="22"/>
        </w:rPr>
        <w:t>Generative AI Engineer Intern — Remote, USA</w:t>
      </w:r>
    </w:p>
    <w:p>
      <w:r>
        <w:rPr>
          <w:rFonts w:ascii="Arial" w:hAnsi="Arial"/>
          <w:b w:val="0"/>
          <w:i/>
          <w:color w:val="000000"/>
          <w:sz w:val="21"/>
        </w:rPr>
        <w:t>G5 Infotech   Mar 2026 - Apr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Benchmarked 3+ RAG chunking strategies (fixed-size, semantic, recursive) using LangChain and Hugging Face, evaluating precision, recall, and MRR — achieving ~30% retrieval latency reduction in production.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Tuned Pinecone vector-DB configuration and context-window management, achieving ~22% faster average response time, directly improving end-user experience in a financial-services context.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Applied prompt engineering and RAGAS-based evaluation frameworks to ensure output reliability and measurable quality improvements across iterative pipeline deployments.</w:t>
      </w:r>
    </w:p>
    <w:p>
      <w:r>
        <w:rPr>
          <w:rFonts w:ascii="Arial" w:hAnsi="Arial"/>
          <w:b/>
          <w:i w:val="0"/>
          <w:color w:val="000000"/>
          <w:sz w:val="22"/>
        </w:rPr>
        <w:t>Graduate Research Assistant — Hoboken, USA</w:t>
      </w:r>
    </w:p>
    <w:p>
      <w:r>
        <w:rPr>
          <w:rFonts w:ascii="Arial" w:hAnsi="Arial"/>
          <w:b w:val="0"/>
          <w:i/>
          <w:color w:val="000000"/>
          <w:sz w:val="21"/>
        </w:rPr>
        <w:t>Stevens Institute of Technology   Jan 2025 - July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Engineered an IoU-based spatial accuracy algorithm evaluated across 25 participants, conducting Likert-scale usability analysis in R and achieving a 68% efficiency gain — demonstrating rigorous, responsible AI evaluation methodology.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real-time computer-vision Android app using Kotlin, OpenCV 4.9, and Camera2 API for Vuzix M400 smart glasses, performing form-field detection via Canny edge detection, contour analysis, and perspective warp.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Authored and published a first-author peer-reviewed paper on multi-modal AI for assistive technology at ACM SIGACCESS ASSETS 2025, contributing original research on responsible AI deployment for underserved populations.</w:t>
      </w:r>
    </w:p>
    <w:p>
      <w:r>
        <w:rPr>
          <w:rFonts w:ascii="Arial" w:hAnsi="Arial"/>
          <w:b/>
          <w:i w:val="0"/>
          <w:color w:val="000000"/>
          <w:sz w:val="22"/>
        </w:rPr>
        <w:t>Software Developer — Remote, USA</w:t>
      </w:r>
    </w:p>
    <w:p>
      <w:r>
        <w:rPr>
          <w:rFonts w:ascii="Arial" w:hAnsi="Arial"/>
          <w:b w:val="0"/>
          <w:i/>
          <w:color w:val="000000"/>
          <w:sz w:val="21"/>
        </w:rPr>
        <w:t>CircleZapp   Dec 2024 - Feb 2025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Prototyped and A/B-tested 3 collaborative filtering variants against live behavioral data, lifting click-through rate by 12% in holdout tests; findings directly shaped 2 product feature releases.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Six Degrees of Separation graph algorithm using NetworkX to match users across 10,000+ active accounts, optimizing graph indexing to cut average match latency from 800ms to 340ms.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Delivered a preference-based NLP chatbot and recommendation features end-to-end within 3 months, demonstrating ability to ship reliable AI-powered products on tight timelines.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PUBLICATIONS</w:t>
      </w:r>
    </w:p>
    <w:p>
      <w:r>
        <w:rPr>
          <w:rFonts w:ascii="Arial" w:hAnsi="Arial"/>
          <w:b w:val="0"/>
          <w:i w:val="0"/>
          <w:color w:val="000000"/>
          <w:sz w:val="20"/>
        </w:rPr>
        <w:t>Interactive Form Filling Assistant on Smart Glasses for Blind Users — S. Sandu, R. R. Khan, J. Hong. ACM SIGACCESS Conference on Computers and Accessibility (ASSETS), October 2025. https://doi.org/10.1145/3663547.3759722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