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H2O.ai</w:t>
      </w:r>
    </w:p>
    <w:p>
      <w:r>
        <w:rPr>
          <w:rFonts w:ascii="Arial" w:hAnsi="Arial"/>
          <w:b w:val="0"/>
          <w:i w:val="0"/>
          <w:color w:val="000000"/>
          <w:sz w:val="22"/>
        </w:rPr>
        <w:t>Re: Senior AI Engineer, Hayes Valley, San Francisco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H2O.ai's mission to democratize AI through sovereign, enterprise-grade GenAI solutions aligns directly with the work I've been doing at the intersection of retrieval-augmented generation, agentic workflows, and production ML systems. During my time as a Generative AI Engineer Intern at G5 Infotech, I benchmarked multiple RAG chunking strategies—fixed-size, semantic, and recursive—using LangChain and Hugging Face, ultimately reducing retrieval latency by ~30% in production. I also tuned Pinecone vector-DB configuration and applied RAGAS and DeepEval evaluation frameworks to drive quantitative improvements in pipeline quality, which is precisely the kind of rigorous, metrics-driven GenAI engineering I would bring to the Senior AI Engineer role at H2O.ai.</w:t>
      </w:r>
    </w:p>
    <w:p>
      <w:r>
        <w:rPr>
          <w:rFonts w:ascii="Arial" w:hAnsi="Arial"/>
          <w:b w:val="0"/>
          <w:i w:val="0"/>
          <w:color w:val="000000"/>
          <w:sz w:val="22"/>
        </w:rPr>
        <w:t>Beyond RAG pipelines, I have hands-on experience building multi-modal AI systems under real-world constraints. As a Graduate Research Assistant at Stevens Institute of Technology, I engineered a computer-vision pipeline combining OpenCV, Canny edge detection, and perspective warp on a Kotlin Android application for Vuzix smart glasses, enabling on-device form-field detection for blind users. This work was evaluated across 25 blind participants using an IoU-based spatial accuracy algorithm and Likert-scale usability analysis, yielding a 68% efficiency gain—and the findings were published as a first-author paper at ACM SIGACCESS ASSETS 2025. Building AI that performs rigorously in constrained, privacy-sensitive environments is a challenge I take seriously, and it maps naturally to H2O.ai's focus on sovereign and infrastructure-flexible deployments.</w:t>
      </w:r>
    </w:p>
    <w:p>
      <w:r>
        <w:rPr>
          <w:rFonts w:ascii="Arial" w:hAnsi="Arial"/>
          <w:b w:val="0"/>
          <w:i w:val="0"/>
          <w:color w:val="000000"/>
          <w:sz w:val="22"/>
        </w:rPr>
        <w:t>I also bring strong product instincts and a track record of shipping ML features that move measurable metrics. At CircleZapp, I prototyped and A/B-tested three collaborative filtering variants against live behavioral data, lifting click-through rate by 12% in holdout tests and directly informing two product feature releases. I additionally optimized a NetworkX-based graph matching algorithm across 10,000+ active accounts, cutting match latency from 800 ms to 340 ms. Paired with my certifications in Agentic AI Architectures, LangGraph, AWS Generative AI, and the Google Agent Developer Kit, I am confident I can contribute immediately to H2O.ai's agentic AI platform and help enterprise customers build purpose-built GenAI applications on their private data.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