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systems, including RAG pipelines, agentic workflows, and computer-vision applications. Benchmarked retrieval-augmented generation pipelines achieving ~30% latency reduction and authored a peer-reviewed paper on multi-modal AI at ACM SIGACCESS ASSETS 2025. Proficient in LangChain, LangGraph, LlamaIndex, PyTorch, and cloud infrastructure (AWS, Docker, Kubernetes), with hands-on experience building GenAI and predictive ML systems end-to-end.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Applied ML/GenAI: PyTorch, TensorFlow, scikit-learn, XGBoost, OpenCV, NLP, Computer Vision, Multi-Modal AI (VLMs, OCR), GenAI/LLMOps: LangChain, LangGraph, LlamaIndex, Hugging Face, RAG, Agentic Workflows, Prompt Engineering, RAGAS, DeepEval, Infrastructure: Docker, Kubernetes, AWS, FastAPI, CI/CD, Languages/Scripting: Python, SQL, C++, JavaScript, R, Databases: MongoDB, Firebase, Frameworks/Tools/OS: React.js, Node.js, API Integration, Linux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precision, recall, and MRR,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 across deployed pipelines.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Applied RAGAS and DeepEval evaluation frameworks to quantify retrieval quality, enabling data-driven iteration on prompt engineering and chunk-size hyperparameters.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 multi-modal AI pipeline combining OpenCV 4.9, Canny edge detection, and perspective warp on a Kotlin Android app for Vuzix M400 smart glasses, enabling real-time on-device form-field detection for blind users.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Designed an IoU-based spatial accuracy algorithm evaluated across 25 blind participants, achieving a 68% efficiency gain; conducted Likert-scale usability analysis in R to validate assistive-technology performance.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for assistive technology at ACM SIGACCESS ASSETS 2025 (doi: 10.1145/3663547.3759722).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 in holdout tests, with findings directly shaping 2 product feature releases.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Six Degrees of Separation graph algorithm using NetworkX to match users across 10,000+ active accounts and optimized graph indexing to cut average match latency from 800 ms to 340 ms.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Developed an NLP-powered This-or-That preference chatbot integrating real-time behavioral signals to drive personalized user matching at scale.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