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agentic workflows, RAG pipelines, and computer-vision applications. Benchmarked retrieval-augmented generation pipelines achieving ~30% latency reduction and published first-author research on multi-modal AI at ACM SIGACCESS ASSETS 2025. Proficient in LangChain, LangGraph, LlamaIndex, Python, and AWS cloud services.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GenAI/LLMOps: LangChain, LangGraph, LlamaIndex, Hugging Face, RAG, Agentic Workflows, Prompt Engineering, RAGAS, DeepEval, Applied ML/GenAI: PyTorch, TensorFlow, scikit-learn, XGBoost, OpenCV, NLP, Computer Vision, Multi-Modal AI (VLMs, OCR), Infrastructure: AWS, Docker, Kubernetes, FastAPI, CI/CD, Languages/Scripting: Python, SQL, JavaScript, R, Databases: MongoDB, Firebase, Frameworks/Tools/OS: React.js, Node.js, API Integration, Linux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MRR,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 across end-to-end GenAI pipelines.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Implemented and evaluated retrieval-augmented generation workflows covering data preparation, model integration, deployment, and performance monitoring.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Android app using Kotlin, OpenCV 4.9, and Camera2 API for Vuzix M400 smart glasses, performing real-time form-field detection via Canny edge detection, contour analysis, and perspective warp for on-device document processing.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across 25 blind participants, conducting Likert-scale usability analysis in R and achieving a 68% efficiency gain.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Authored and published a first-author peer-reviewed paper on multi-modal AI for assistive technology at ACM SIGACCESS ASSETS 2025.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NLP-powered preference chatbot and a Six Degrees of Separation graph algorithm using NetworkX to autonomously match users across 10,000+ active accounts by shared interests, location, school, and community.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Optimized graph indexing to cut average match latency from 800ms to 340ms, delivering both agentic features end-to-end within 3 months.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