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agentic workflows, with hands-on experience benchmarking retrieval-augmented generation systems that reduced latency by ~30% in production. Proficient in LangChain, LangGraph, LlamaIndex, Hugging Face, PyTorch, and AWS cloud services, with a strong foundation in responsible AI development and LLMOps. Authored a peer-reviewed paper at ACM SIGACCESS ASSETS 2025, demonstrating the ability to translate rigorous research into real-world AI applications.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PyTorch, TensorFlow, scikit-learn, XGBoost, NLP, Computer Vision, Multi-Modal AI (VLMs, OCR), AWS, Docker, Kubernetes, FastAPI, CI/CD, SQL, MongoDB, OpenCV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queries.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evaluation frameworks (RAGAS, DeepEval) to systematically measure and improve end-to-end pipeline quality.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evaluated a multi-modal AI pipeline integrating computer vision (OpenCV 4.9, Canny edge detection, contour analysis) and on-device inference for real-time form-field detection on Vuzix M400 smart glasses.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participants and conducted statistical usability analysis in R, achieving a 68% efficiency gain; findings published as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end-to-end production-grade Android application using Kotlin and Camera2 API, demonstrating ability to take AI research from prototype to deployable system.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and optimized graph indexing to reduce average match latency from 800ms to 340ms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an NLP-driven preference chatbot, integrating conversational AI with real-time user behavioral signals to deliver personalized recommendations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