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i w:val="0"/>
          <w:color w:val="000000"/>
          <w:sz w:val="22"/>
        </w:rPr>
        <w:t>Srikala Sandu</w:t>
      </w:r>
    </w:p>
    <w:p>
      <w:r>
        <w:rPr>
          <w:rFonts w:ascii="Arial" w:hAnsi="Arial"/>
          <w:b w:val="0"/>
          <w:i w:val="0"/>
          <w:color w:val="000000"/>
          <w:sz w:val="22"/>
        </w:rPr>
        <w:t>Jersey City, NJ | sandusrikala@gmail.com | +1 (551) 554-1160</w:t>
      </w:r>
    </w:p>
    <w:p/>
    <w:p>
      <w:r>
        <w:rPr>
          <w:rFonts w:ascii="Arial" w:hAnsi="Arial"/>
          <w:b w:val="0"/>
          <w:i w:val="0"/>
          <w:color w:val="000000"/>
          <w:sz w:val="22"/>
        </w:rPr>
        <w:t>Hiring Team, Capital One</w:t>
      </w:r>
    </w:p>
    <w:p>
      <w:r>
        <w:rPr>
          <w:rFonts w:ascii="Arial" w:hAnsi="Arial"/>
          <w:b w:val="0"/>
          <w:i w:val="0"/>
          <w:color w:val="000000"/>
          <w:sz w:val="22"/>
        </w:rPr>
        <w:t>Re: Lead AI Engineer (IFX), Mc Lean, Fairfax County</w:t>
      </w:r>
    </w:p>
    <w:p/>
    <w:p>
      <w:r>
        <w:rPr>
          <w:rFonts w:ascii="Arial" w:hAnsi="Arial"/>
          <w:b w:val="0"/>
          <w:i w:val="0"/>
          <w:color w:val="000000"/>
          <w:sz w:val="22"/>
        </w:rPr>
        <w:t>Dear Hiring Team,</w:t>
      </w:r>
    </w:p>
    <w:p>
      <w:r>
        <w:rPr>
          <w:rFonts w:ascii="Arial" w:hAnsi="Arial"/>
          <w:b w:val="0"/>
          <w:i w:val="0"/>
          <w:color w:val="000000"/>
          <w:sz w:val="22"/>
        </w:rPr>
        <w:t>Capital One's commitment to building responsible, reliable AI systems that create real-time, personalized customer experiences is exactly the mission I want to contribute to. As an AI Engineer with 4+ years delivering production ML systems — including RAG pipelines, agentic workflows, and multi-modal computer-vision applications — I am excited to bring both technical depth and a strong focus on measurable outcomes to the Lead AI Engineer role on the IFX team.</w:t>
      </w:r>
    </w:p>
    <w:p>
      <w:r>
        <w:rPr>
          <w:rFonts w:ascii="Arial" w:hAnsi="Arial"/>
          <w:b w:val="0"/>
          <w:i w:val="0"/>
          <w:color w:val="000000"/>
          <w:sz w:val="22"/>
        </w:rPr>
        <w:t>In my most recent role as a Generative AI Engineer at G5 Infotech, I benchmarked multiple RAG chunking strategies using LangChain and Hugging Face, achieving approximately 30% retrieval latency reduction in production. I also tuned Pinecone vector-DB configurations and applied evaluation frameworks such as RAGAS and DeepEval to ensure pipeline reliability — the kind of rigorous, metrics-driven approach that responsible enterprise AI demands. These experiences map directly to the scale and quality bar Capital One sets for its AI infrastructure.</w:t>
      </w:r>
    </w:p>
    <w:p>
      <w:r>
        <w:rPr>
          <w:rFonts w:ascii="Arial" w:hAnsi="Arial"/>
          <w:b w:val="0"/>
          <w:i w:val="0"/>
          <w:color w:val="000000"/>
          <w:sz w:val="22"/>
        </w:rPr>
        <w:t>As a Graduate Research Assistant at Stevens Institute of Technology, I designed and deployed a real-time computer-vision system on Vuzix smart glasses using Kotlin, OpenCV, and on-device ML inference, then validated its effectiveness across 25 blind participants with a 68% efficiency gain. This work — published as a first-author paper at ACM SIGACCESS ASSETS 2025 — reflects my ability to take an AI system from research through production while maintaining rigorous evaluation standards. At CircleZapp, I further demonstrated end-to-end ownership by A/B testing three collaborative filtering variants against live behavioral data, lifting click-through rate by 12% and directly shaping two product releases.</w:t>
      </w:r>
    </w:p>
    <w:p>
      <w:r>
        <w:rPr>
          <w:rFonts w:ascii="Arial" w:hAnsi="Arial"/>
          <w:b w:val="0"/>
          <w:i w:val="0"/>
          <w:color w:val="000000"/>
          <w:sz w:val="22"/>
        </w:rPr>
        <w:t>I am energized by Capital One's position at the forefront of enterprise AI and would welcome the opportunity to help lead the design and delivery of production-grade AI systems that are both technically excellent and responsibly built. I look forward to discussing how my background in GenAI engineering, retrieval systems, and applied ML can contribute to the IFX team's goals.</w:t>
      </w:r>
    </w:p>
    <w:p/>
    <w:p>
      <w:r>
        <w:rPr>
          <w:rFonts w:ascii="Arial" w:hAnsi="Arial"/>
          <w:b w:val="0"/>
          <w:i w:val="0"/>
          <w:color w:val="000000"/>
          <w:sz w:val="22"/>
        </w:rPr>
        <w:t>Sincerely,</w:t>
      </w:r>
    </w:p>
    <w:p>
      <w:r>
        <w:rPr>
          <w:rFonts w:ascii="Arial" w:hAnsi="Arial"/>
          <w:b w:val="0"/>
          <w:i w:val="0"/>
          <w:color w:val="000000"/>
          <w:sz w:val="22"/>
        </w:rPr>
        <w:t>Srikala Sandu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