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Robert Half</w:t>
      </w:r>
    </w:p>
    <w:p>
      <w:r>
        <w:rPr>
          <w:rFonts w:ascii="Arial" w:hAnsi="Arial"/>
          <w:b w:val="0"/>
          <w:i w:val="0"/>
          <w:color w:val="000000"/>
          <w:sz w:val="22"/>
        </w:rPr>
        <w:t>Re: Artificial Intelligence (AI) Engineer, Lawrenceville, Gwinnett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Artificial Intelligence Engineer role at Robert Half. With over four years of hands-on experience building and deploying production ML systems — including RAG pipelines, computer-vision applications, and agentic workflows — I thrive in exactly the kind of developing, cross-functional environment this role describes, where the mandate is to uncover meaningful use cases and convert operational challenges into scalable tools that improve decision-making and efficiency.</w:t>
      </w:r>
    </w:p>
    <w:p>
      <w:r>
        <w:rPr>
          <w:rFonts w:ascii="Arial" w:hAnsi="Arial"/>
          <w:b w:val="0"/>
          <w:i w:val="0"/>
          <w:color w:val="000000"/>
          <w:sz w:val="22"/>
        </w:rPr>
        <w:t>In my most recent role as a Generative AI Engineer Intern at G5 Infotech, I did precisely this: I identified retrieval bottlenecks in a production environment, benchmarked multiple RAG chunking strategies using LangChain and Hugging Face, and delivered approximately a 30% reduction in retrieval latency alongside a 22% improvement in average response time through targeted vector-database tuning. At CircleZapp, I partnered with product stakeholders to translate a user-matching business challenge into a graph-based algorithm and a preference chatbot serving over 10,000 active accounts, then validated impact through A/B testing that lifted click-through rate by 12% and directly informed two product feature releases — demonstrating the full cycle from use-case discovery through measurable business outcome.</w:t>
      </w:r>
    </w:p>
    <w:p>
      <w:r>
        <w:rPr>
          <w:rFonts w:ascii="Arial" w:hAnsi="Arial"/>
          <w:b w:val="0"/>
          <w:i w:val="0"/>
          <w:color w:val="000000"/>
          <w:sz w:val="22"/>
        </w:rPr>
        <w:t>My Graduate Research Assistantship at Stevens Institute of Technology further reflects my ability to apply AI rigorously in novel, ambiguous problem spaces. I designed a real-time computer-vision system for smart glasses that achieved a 68% efficiency gain for blind users across a 25-participant study, and I published the resulting work as first author at ACM SIGACCESS ASSETS 2025. This experience sharpened both my technical depth — across PyTorch, OpenCV, multimodal AI, and cloud infrastructure — and my ability to communicate findings clearly to both technical and non-technical audiences, a skill I consider essential when working with functional leaders to surface and prioritize AI opportunities.</w:t>
      </w:r>
    </w:p>
    <w:p>
      <w:r>
        <w:rPr>
          <w:rFonts w:ascii="Arial" w:hAnsi="Arial"/>
          <w:b w:val="0"/>
          <w:i w:val="0"/>
          <w:color w:val="000000"/>
          <w:sz w:val="22"/>
        </w:rPr>
        <w:t>I am eager to bring this combination of production AI engineering, stakeholder collaboration, and a bias toward measurable outcomes to Robert Half. I would welcome the opportunity to discuss how my background aligns with your team's current priorities and the AI capabilities you are looking to build.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