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Tbright Technologies</w:t>
      </w:r>
    </w:p>
    <w:p>
      <w:r>
        <w:rPr>
          <w:rFonts w:ascii="Arial" w:hAnsi="Arial"/>
          <w:b w:val="0"/>
          <w:i w:val="0"/>
          <w:color w:val="000000"/>
          <w:sz w:val="22"/>
        </w:rPr>
        <w:t>Re: AI Engineer — Enterprise AI Solutions, US</w:t>
      </w:r>
    </w:p>
    <w:p/>
    <w:p>
      <w:r>
        <w:rPr>
          <w:rFonts w:ascii="Arial" w:hAnsi="Arial"/>
          <w:b w:val="0"/>
          <w:i w:val="0"/>
          <w:color w:val="000000"/>
          <w:sz w:val="22"/>
        </w:rPr>
        <w:t>Dear Hiring Team,</w:t>
      </w:r>
    </w:p>
    <w:p>
      <w:r>
        <w:rPr>
          <w:rFonts w:ascii="Arial" w:hAnsi="Arial"/>
          <w:b w:val="0"/>
          <w:i w:val="0"/>
          <w:color w:val="000000"/>
          <w:sz w:val="22"/>
        </w:rPr>
        <w:t>I'm excited to apply for the AI Engineer — Enterprise AI Solutions role at Tbright Technologies. As someone who has spent the last four years building and shipping production AI systems — from RAG pipelines and agentic workflows to real-time computer-vision applications — I'm drawn to Tbright's 100% AI-first mission of creating genuine operational efficiency rather than simply replacing headcount.</w:t>
      </w:r>
    </w:p>
    <w:p>
      <w:r>
        <w:rPr>
          <w:rFonts w:ascii="Arial" w:hAnsi="Arial"/>
          <w:b w:val="0"/>
          <w:i w:val="0"/>
          <w:color w:val="000000"/>
          <w:sz w:val="22"/>
        </w:rPr>
        <w:t>In my most recent role as a Generative AI Engineer Intern at G5 Infotech, I benchmarked multiple RAG chunking strategies using LangChain and Hugging Face, achieving a ~30% retrieval latency reduction and ~22% faster average response times through targeted vector-DB and context-window tuning. These weren't academic exercises — they were production improvements measured against real enterprise document workloads. I am certified across the AWS AI/ML stack and hold certifications in agentic AI architectures, LangGraph, and building agents with MCP and Agent2Agent (A2A), meaning I can move quickly from whiteboard to working agent without extensive ramp-up time.</w:t>
      </w:r>
    </w:p>
    <w:p>
      <w:r>
        <w:rPr>
          <w:rFonts w:ascii="Arial" w:hAnsi="Arial"/>
          <w:b w:val="0"/>
          <w:i w:val="0"/>
          <w:color w:val="000000"/>
          <w:sz w:val="22"/>
        </w:rPr>
        <w:t>Beyond pure GenAI work, I bring a track record of shipping end-to-end AI tools under real constraints. At CircleZapp, I built and A/B-tested collaborative filtering variants that lifted click-through rate by 12% and directly shaped product releases — working closely with the team to identify where AI created genuine value. As a Graduate Research Assistant at Stevens Institute of Technology, I engineered a smart-glasses assistive application combining computer vision and multi-modal AI for blind users, achieving a 68% efficiency gain and publishing the work as a first-author paper at ACM SIGACCESS ASSETS 2025. That project required me to partner directly with stakeholders, design for real operational constraints, and deliver something that worked in users' hands.</w:t>
      </w:r>
    </w:p>
    <w:p>
      <w:r>
        <w:rPr>
          <w:rFonts w:ascii="Arial" w:hAnsi="Arial"/>
          <w:b w:val="0"/>
          <w:i w:val="0"/>
          <w:color w:val="000000"/>
          <w:sz w:val="22"/>
        </w:rPr>
        <w:t>I thrive in fast-moving, hands-on environments where the measure of success is whether the tool actually makes teams faster and sharper. I'd welcome the chance to bring that mindset to Tbright Technologies and help build AI solutions your clients can immediately put to work.</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