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Unicorn Technologies LLC</w:t>
      </w:r>
    </w:p>
    <w:p>
      <w:r>
        <w:rPr>
          <w:rFonts w:ascii="Arial" w:hAnsi="Arial"/>
          <w:b w:val="0"/>
          <w:i w:val="0"/>
          <w:color w:val="000000"/>
          <w:sz w:val="22"/>
        </w:rPr>
        <w:t>Re: Gen AI Engineer, Campbell, Santa Clara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Generative AI Engineer role at Unicorn Technologies LLC supporting Google Cloud. As an AI Engineer with hands-on experience shipping production-grade RAG pipelines, agentic workflows, and multi-modal AI systems, I am drawn to this Forward Deployed Engineer model precisely because it demands someone who can move from architecture to working code inside a customer's environment — which is exactly how I operate.</w:t>
      </w:r>
    </w:p>
    <w:p>
      <w:r>
        <w:rPr>
          <w:rFonts w:ascii="Arial" w:hAnsi="Arial"/>
          <w:b w:val="0"/>
          <w:i w:val="0"/>
          <w:color w:val="000000"/>
          <w:sz w:val="22"/>
        </w:rPr>
        <w:t>At G5 Infotech, I benchmarked and optimized retrieval-augmented generation pipelines end-to-end, evaluating fixed-size, semantic, and recursive chunking strategies using LangChain and Hugging Face, ultimately achieving a ~30% reduction in retrieval latency and a ~22% improvement in response time through Pinecone vector-DB tuning and context-window management. This work required both deep technical execution and the ability to justify architectural decisions with rigorous evaluation metrics — skills central to a customer-embedded builder role. At CircleZapp, I prototyped and shipped agentic matching features under a tight three-month timeline, cutting match latency from 800ms to 340ms and running A/B tests that directly informed two product releases, demonstrating my ability to iterate quickly and deliver measurable outcomes.</w:t>
      </w:r>
    </w:p>
    <w:p>
      <w:r>
        <w:rPr>
          <w:rFonts w:ascii="Arial" w:hAnsi="Arial"/>
          <w:b w:val="0"/>
          <w:i w:val="0"/>
          <w:color w:val="000000"/>
          <w:sz w:val="22"/>
        </w:rPr>
        <w:t>My research background further deepens my GenAI breadth. As a Graduate Research Assistant at Stevens Institute of Technology, I designed and deployed a multi-modal AI pipeline on Vuzix M400 smart glasses, combining real-time computer vision with on-device document processing — work that earned a first-author publication at ACM SIGACCESS ASSETS 2025. I am also actively certified across the Google, AWS, and OpenAI AI ecosystems, including agentic frameworks, LangGraph, MCP, and Agent2Agent protocols, and I hold AWS AI Practitioner and Generative AI Developer certification prep credentials.</w:t>
      </w:r>
    </w:p>
    <w:p>
      <w:r>
        <w:rPr>
          <w:rFonts w:ascii="Arial" w:hAnsi="Arial"/>
          <w:b w:val="0"/>
          <w:i w:val="0"/>
          <w:color w:val="000000"/>
          <w:sz w:val="22"/>
        </w:rPr>
        <w:t>I am confident that my combination of production RAG experience, agentic system development, and a track record of shipping bespoke AI solutions within real customer constraints makes me a strong match for this role. I would welcome the opportunity to discuss how I can contribute to Unicorn Technologies and Google Cloud's customers as a hands-on GenAI builder.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