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building production ML and LLM-enabled systems, including RAG pipelines, agentic workflows, and computer-vision applications deployed on cloud and edge environments. Designed and benchmarked retrieval-augmented generation pipelines achieving ~30% latency reduction, and authored a peer-reviewed paper on multi-modal AI at ACM SIGACCESS ASSETS 2025. Proficient in Python, LangChain, LlamaIndex, AWS, and FastAPI with hands-on experience across the full GenAI stack.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LlamaIndex, LangGraph, RAG, Agentic Workflows, Prompt Engineering, RAGAS, DeepEval, Hugging Face, OpenCV, Multi-Modal AI (VLMs, OCR), NLP, Computer Vision, PyTorch, TensorFlow, scikit-learn, XGBoost, AWS, Docker, Kubernetes, FastAPI, CI/CD, SQL, MongoDB, Firebase, React.js, Node.js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Evaluated retrieval pipeline quality using RAGAS and DeepEval frameworks, enabling data-driven iteration on prompt engineering and chunking design.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Android app using Kotlin, OpenCV 4.9, and Camera2 API for Vuzix M400 smart glasses, performing real-time form-field detection via Canny edge detection, contour analysis, and perspective warp for on-device form processing.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across 25 blind participants and conducted Likert-scale usability analysis in R, achieving a 68% efficiency gain.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This-or-That preference chatbot and a Six Degrees of Separation graph algorithm using NetworkX to match users by shared interests and community across 10,000+ active accounts.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tests, with findings shaping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features within 3 months.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