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pipelines, agentic workflows, and computer-vision applications in cloud-native environments. Designed and benchmarked retrieval-augmented generation pipelines that cut latency by ~30% and authored a peer-reviewed paper on multi-modal AI at ACM SIGACCESS ASSETS 2025. Proficient in Python, LangChain, LangGraph, PyTorch, and AWS, with hands-on experience building responsible, reliable AI systems at scale.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LangChain, LangGraph, LlamaIndex, RAG, Agentic Workflows, Prompt Engineering, RAGAS, DeepEval, Hugging Face, PyTorch, TensorFlow, scikit-learn, XGBoost, OpenCV, NLP, Computer Vision, Multi-Modal AI (VLMs, OCR), AWS, Docker, Kubernetes, FastAPI, CI/CD, SQL, MongoDB, API Integration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 —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 across production queries.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retrieval evaluation frameworks (RAGAS, DeepEval) to measure and improve end-to-end generative AI pipeline reliability.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Android app using Kotlin, OpenCV 4.9, and Camera2 API for Vuzix M400 smart glasses performing real-time form-field detection via edge detection, contour analysis, and perspective warp — enabling on-device document processing.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evaluated across 25 participants, achieving a 68% efficiency gain; conducted statistical usability analysis in R.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Authored and published a first-author peer-reviewed paper on multi-modal AI for assistive technology at ACM SIGACCESS ASSETS 2025.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Six Degrees of Separation graph algorithm using NetworkX to match users across 10,000+ active accounts, optimizing graph indexing to cut average match latency from 800ms to 340ms.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Delivered an NLP-powered preference chatbot and recommendation features end-to-end within 3 months, demonstrating rapid iteration on production AI systems.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