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 and computer-vision applications. Experienced in uncovering actionable use cases and converting operational challenges into scalable technical solutions using Python, LangChain, PyTorch, and cloud services. Published first-author researcher at ACM SIGACCESS ASSETS 2025 with a track record of measurable efficiency gains across diverse business contexts.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RAG, Agentic Workflows, Prompt Engineering, RAGAS, DeepEval, PyTorch, TensorFlow, scikit-learn, XGBoost, OpenCV, NLP, Computer Vision, Multi-Modal AI (VLMs, OCR), Hugging Face, FastAPI, Docker, Kubernetes, AWS, CI/CD, SQL, MongoDB, Firebase, React.js, Node.js, API Integration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approximately 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approximately 22% faster average response time, directly improving decision-support tooling for end users.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Translated operational retrieval challenges into scalable GenAI solutions, demonstrating the full cycle from use-case identification through benchmarking and production deployment.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application using Kotlin, OpenCV 4.9, and Camera2 API for Vuzix M400 smart glasses, performing real-time form-field detection via edge detection and perspective warp, converting an operational accessibility challenge into a deployable AI tool.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blind participants and conducted Likert-scale usability analysis in R, achieving a 68% efficiency gain and demonstrating data-driven validation of AI solutions.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2025, evidencing expertise in applied AI research with real-world impact.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preference-matching chatbot and a Six Degrees of Separation graph algorithm using NetworkX to connect 10,000+ active accounts by shared interests, translating a business matching challenge into a scalable technical solution.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reduce average match latency from 800ms to 340ms, delivering measurable performance improvements that enhanced user decision-making speed.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 and directly shaping 2 product feature releases.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