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Generative AI Engineer with 4+ years of experience building production ML and LLM systems, including RAG pipelines, agentic workflows, and prompt engineering for real-world applications. Benchmarked retrieval-augmented generation strategies achieving ~30% latency reduction and published first-author research on multi-modal AI at ACM SIGACCESS ASSETS 2025. Proficient in LangChain, LangGraph, Hugging Face, Claude/Anthropic models, and cloud-based AI infrastructure.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GenAI/LLMOps: LangChain, LangGraph, LlamaIndex, Hugging Face, RAG, Agentic Workflows, Prompt Engineering, RAGAS, DeepEval, Applied ML/GenAI: PyTorch, TensorFlow, scikit-learn, NLP, Computer Vision, Multi-Modal AI (VLMs, OCR), Languages/Scripting: Python, SQL, JavaScript, Infrastructure: AWS, FastAPI, Docker, CI/CD, Frameworks/Tools/OS: React.js, Node.js, API Integration, Databases: MongoDB, Firebase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across LLM-powered query pipelines.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and iterated on prompt strategies for retrieval-augmented generation use cases, optimizing output quality and alignment with downstream application goals.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2025, applying VLMs and OCR in a real-world accessibility pipeline.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 leveraging OpenCV 4.9 and Camera2 API for real-time on-device form-field detection, integrating computer vision with a user-facing assistive interface.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and conducted Likert-scale usability analysis in R across 25 blind participants, achieving a 68% efficiency gain.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This-or-That preference chatbot using NLP techniques, serving 10,000+ active accounts and demonstrating end-to-end conversational AI development from prompt design to deployment.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tests, with findings directly shaping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delivering both AI-driven features within a 3-month timeline.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