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agentic workflows, and computer-vision applications. Benchmarked retrieval-augmented generation pipelines that cut latency ~30% and authored a peer-reviewed paper at ACM SIGACCESS ASSETS 2025. Proficient in LangChain, LangGraph, Python, and cloud services, with hands-on experience shipping AI tools that create measurable operational efficiency.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GenAI/LLMOps: LangChain, LangGraph, LlamaIndex, Hugging Face, RAG, Agentic Workflows, Prompt Engineering, RAGAS, DeepEval, Applied ML/GenAI: PyTorch, TensorFlow, scikit-learn, OpenCV, NLP, Computer Vision, Multi-Modal AI (VLMs, OCR), Languages/Scripting: Python, JavaScript, SQL, Kotlin, Infrastructure: AWS, FastAPI, Docker, Kubernetes, CI/CD, Frameworks/Tools/OS: React.js, Node.js, API Integration, Linux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precision/recall/MRR and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 and context-window management, achieving ~22% faster average response time.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prompt strategies and agentic retrieval flows to maximize answer quality and operational throughput for enterprise document Q&amp;A use cases.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 using Kotlin, OpenCV 4.9, and Camera2 API for Vuzix M400 smart glasses, performing real-time form-field detection via Canny edge detection, contour analysis, and perspective warp — shipped as a working assistive tool.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across 25 blind participants and conducted Likert-scale usability analysis in R, achieving a 68% efficiency gain.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NLP-powered This-or-That preference chatbot and a Six Degrees of Separation graph algorithm using NetworkX to match users across 10,000+ active accounts.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delivering both AI-driven features within 3 months.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and directly shaping 2 product feature releases.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