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000000"/>
          <w:sz w:val="36"/>
        </w:rPr>
        <w:t>SRIKALA SANDU</w:t>
      </w:r>
    </w:p>
    <w:p>
      <w:pPr>
        <w:jc w:val="center"/>
      </w:pPr>
      <w:r>
        <w:rPr>
          <w:rFonts w:ascii="Arial" w:hAnsi="Arial"/>
          <w:b w:val="0"/>
          <w:i w:val="0"/>
          <w:color w:val="000000"/>
          <w:sz w:val="20"/>
        </w:rPr>
        <w:t>sandusrikala@gmail.com | Jersey City, NJ | +1 (551) 554-1160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PROFESSIONAL SUMMARY</w:t>
      </w:r>
    </w:p>
    <w:p>
      <w:r>
        <w:rPr>
          <w:rFonts w:ascii="Arial" w:hAnsi="Arial"/>
          <w:b w:val="0"/>
          <w:i w:val="0"/>
          <w:color w:val="000000"/>
          <w:sz w:val="21"/>
        </w:rPr>
        <w:t>Generative AI Engineer with 4+ years of experience building production-grade ML and GenAI systems, including agentic workflows, RAG pipelines, and multi-modal AI applications. Designed and benchmarked retrieval-augmented generation pipelines achieving ~30% latency reduction and published first-author research on multi-modal AI at ACM SIGACCESS ASSETS 2025. Proficient in LangChain, LangGraph, LlamaIndex, Python, and cloud-native infrastructure including AWS and Docker.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SKILLS</w:t>
      </w:r>
    </w:p>
    <w:p>
      <w:r>
        <w:rPr>
          <w:rFonts w:ascii="Arial" w:hAnsi="Arial"/>
          <w:b w:val="0"/>
          <w:i w:val="0"/>
          <w:color w:val="000000"/>
          <w:sz w:val="21"/>
        </w:rPr>
        <w:t>Python, LangChain, LangGraph, LlamaIndex, Hugging Face, RAG, Agentic Workflows, Prompt Engineering, RAGAS, DeepEval, OpenCV, NLP, Multi-Modal AI (VLMs, OCR), PyTorch, TensorFlow, scikit-learn, AWS, Docker, Kubernetes, FastAPI, CI/CD, MongoDB, Firebase, API Integration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PROFESSIONAL EXPERIENCE</w:t>
      </w:r>
    </w:p>
    <w:p>
      <w:r>
        <w:rPr>
          <w:rFonts w:ascii="Arial" w:hAnsi="Arial"/>
          <w:b/>
          <w:i w:val="0"/>
          <w:color w:val="000000"/>
          <w:sz w:val="22"/>
        </w:rPr>
        <w:t>Generative AI Engineer Intern — Remote, USA</w:t>
      </w:r>
    </w:p>
    <w:p>
      <w:r>
        <w:rPr>
          <w:rFonts w:ascii="Arial" w:hAnsi="Arial"/>
          <w:b w:val="0"/>
          <w:i/>
          <w:color w:val="000000"/>
          <w:sz w:val="21"/>
        </w:rPr>
        <w:t>G5 Infotech   Mar 2026 - Apr 2026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Benchmarked 3+ RAG chunking strategies (fixed-size, semantic, recursive) using LangChain and Hugging Face, evaluating precision, recall, and MRR, achieving ~30% retrieval latency reduction in production.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Tuned Pinecone vector-DB configuration and context-window management, achieving ~22% faster average response time.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Applied prompt engineering and retrieval optimization techniques to ship a production-grade RAG solution directly within the customer environment.</w:t>
      </w:r>
    </w:p>
    <w:p>
      <w:r>
        <w:rPr>
          <w:rFonts w:ascii="Arial" w:hAnsi="Arial"/>
          <w:b/>
          <w:i w:val="0"/>
          <w:color w:val="000000"/>
          <w:sz w:val="22"/>
        </w:rPr>
        <w:t>Graduate Research Assistant — Hoboken, USA</w:t>
      </w:r>
    </w:p>
    <w:p>
      <w:r>
        <w:rPr>
          <w:rFonts w:ascii="Arial" w:hAnsi="Arial"/>
          <w:b w:val="0"/>
          <w:i/>
          <w:color w:val="000000"/>
          <w:sz w:val="21"/>
        </w:rPr>
        <w:t>Stevens Institute of Technology   Jan 2025 - July 2026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Built and deployed a multi-modal AI system on Vuzix M400 smart glasses using Kotlin, OpenCV 4.9, and Camera2 API, performing real-time form-field detection and on-device document processing.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Engineered an IoU-based spatial accuracy algorithm evaluated across 25 participants, achieving a 68% efficiency gain; conducted statistical usability analysis in R.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Authored and published a first-author peer-reviewed paper on multi-modal AI for assistive technology at ACM SIGACCESS ASSETS 2025.</w:t>
      </w:r>
    </w:p>
    <w:p>
      <w:r>
        <w:rPr>
          <w:rFonts w:ascii="Arial" w:hAnsi="Arial"/>
          <w:b/>
          <w:i w:val="0"/>
          <w:color w:val="000000"/>
          <w:sz w:val="22"/>
        </w:rPr>
        <w:t>Software Developer — Remote, USA</w:t>
      </w:r>
    </w:p>
    <w:p>
      <w:r>
        <w:rPr>
          <w:rFonts w:ascii="Arial" w:hAnsi="Arial"/>
          <w:b w:val="0"/>
          <w:i/>
          <w:color w:val="000000"/>
          <w:sz w:val="21"/>
        </w:rPr>
        <w:t>CircleZapp   Dec 2024 - Feb 2025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Built an NLP-powered preference chatbot and a Six Degrees of Separation graph algorithm using NetworkX to match users across 10,000+ active accounts.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Optimized graph indexing to cut average match latency from 800ms to 340ms, delivering both agentic features within a 3-month timeline.</w:t>
      </w:r>
    </w:p>
    <w:p>
      <w:pPr>
        <w:pStyle w:val="ListBullet"/>
      </w:pPr>
      <w:r>
        <w:rPr>
          <w:rFonts w:ascii="Arial" w:hAnsi="Arial"/>
          <w:b w:val="0"/>
          <w:i w:val="0"/>
          <w:color w:val="000000"/>
          <w:sz w:val="21"/>
        </w:rPr>
        <w:t>Prototyped and A/B-tested 3 collaborative filtering variants against live behavioral data, lifting click-through rate by 12% and directly shaping 2 product feature releases.</w:t>
      </w:r>
    </w:p>
    <w:p>
      <w:pPr>
        <w:spacing w:before="160" w:after="40"/>
      </w:pPr>
      <w:r>
        <w:rPr>
          <w:rFonts w:ascii="Arial" w:hAnsi="Arial"/>
          <w:b/>
          <w:i w:val="0"/>
          <w:color w:val="000000"/>
          <w:sz w:val="24"/>
        </w:rPr>
        <w:t>PUBLICATIONS</w:t>
      </w:r>
    </w:p>
    <w:p>
      <w:r>
        <w:rPr>
          <w:rFonts w:ascii="Arial" w:hAnsi="Arial"/>
          <w:b w:val="0"/>
          <w:i w:val="0"/>
          <w:color w:val="000000"/>
          <w:sz w:val="20"/>
        </w:rPr>
        <w:t>Interactive Form Filling Assistant on Smart Glasses for Blind Users — S. Sandu, R. R. Khan, J. Hong. ACM SIGACCESS Conference on Computers and Accessibility (ASSETS), October 2025. https://doi.org/10.1145/3663547.3759722</w:t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