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Aston Carter</w:t>
      </w:r>
    </w:p>
    <w:p>
      <w:r>
        <w:rPr>
          <w:rFonts w:ascii="Arial" w:hAnsi="Arial"/>
          <w:b w:val="0"/>
          <w:i w:val="0"/>
          <w:color w:val="000000"/>
          <w:sz w:val="22"/>
        </w:rPr>
        <w:t>Re: Machine Learning Engineer, Grand Central, Manhattan</w:t>
      </w:r>
    </w:p>
    <w:p/>
    <w:p>
      <w:r>
        <w:rPr>
          <w:rFonts w:ascii="Arial" w:hAnsi="Arial"/>
          <w:b w:val="0"/>
          <w:i w:val="0"/>
          <w:color w:val="000000"/>
          <w:sz w:val="22"/>
        </w:rPr>
        <w:t>Dear Hiring Team,</w:t>
      </w:r>
    </w:p>
    <w:p>
      <w:r>
        <w:rPr>
          <w:rFonts w:ascii="Arial" w:hAnsi="Arial"/>
          <w:b w:val="0"/>
          <w:i w:val="0"/>
          <w:color w:val="000000"/>
          <w:sz w:val="22"/>
        </w:rPr>
        <w:t>I am excited to apply for the Machine Learning Engineer role at Aston Carter. With over four years of hands-on experience designing, validating, and deploying production ML systems — ranging from retrieval-augmented generation pipelines to computer-vision applications — I bring both the analytical rigor and software engineering depth this consulting engagement demands. My work consistently bridges advanced ML methodology with practical, scalable business outcomes, which aligns directly with this role's emphasis on evaluating complex scenarios and ensuring technical soundness.</w:t>
      </w:r>
    </w:p>
    <w:p>
      <w:r>
        <w:rPr>
          <w:rFonts w:ascii="Arial" w:hAnsi="Arial"/>
          <w:b w:val="0"/>
          <w:i w:val="0"/>
          <w:color w:val="000000"/>
          <w:sz w:val="22"/>
        </w:rPr>
        <w:t>In my role as a Generative AI Engineer Intern at G5 Infotech, I conducted systematic benchmarking of three RAG chunking strategies using LangChain and Hugging Face, evaluating precision, recall, and MRR to achieve a ~30% retrieval latency reduction in production. I also tuned Pinecone vector-database configurations to deliver ~22% faster response times — work that required both statistical analysis and iterative model validation against real-world performance targets. This experience reflects exactly the kind of analytical workflow review and expert guidance this role calls for.</w:t>
      </w:r>
    </w:p>
    <w:p>
      <w:r>
        <w:rPr>
          <w:rFonts w:ascii="Arial" w:hAnsi="Arial"/>
          <w:b w:val="0"/>
          <w:i w:val="0"/>
          <w:color w:val="000000"/>
          <w:sz w:val="22"/>
        </w:rPr>
        <w:t>As a Graduate Research Assistant at Stevens Institute of Technology, I developed an IoU-based spatial accuracy algorithm validated across 25 blind participants and performed Likert-scale usability analysis in R, achieving a 68% efficiency gain. This project demanded rigorous experimental design and quantitative evaluation of a computer-vision model operating in a real-world assistive technology context. The resulting first-author paper was published at ACM SIGACCESS ASSETS 2025, underscoring my ability to produce technically sound, peer-reviewed ML research. At CircleZapp, I further demonstrated model evaluation expertise by A/B-testing three collaborative filtering variants against live behavioral data, lifting click-through rate by 12% in holdout tests and directly shaping two product feature releases.</w:t>
      </w:r>
    </w:p>
    <w:p>
      <w:r>
        <w:rPr>
          <w:rFonts w:ascii="Arial" w:hAnsi="Arial"/>
          <w:b w:val="0"/>
          <w:i w:val="0"/>
          <w:color w:val="000000"/>
          <w:sz w:val="22"/>
        </w:rPr>
        <w:t>I am eager to bring this combination of production ML engineering, rigorous model validation, and cross-functional technical communication to Aston Carter's consulting team. I welcome the opportunity to discuss how my background aligns with the specific use cases and analytical challenges your clients are navigating.</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